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2203CAED" w:rsidR="005948C8" w:rsidRDefault="00C23A8C" w:rsidP="003E4E73">
          <w:r>
            <w:t>a4 : agir de manière responsable dans la société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C37F7F"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68D0C5D0" w:rsidR="00A37A7F" w:rsidRPr="00D466ED" w:rsidRDefault="00BA544B" w:rsidP="00D466ED">
            <w:r>
              <w:t>Je planifie mes agissements personnels et professionnels en pleine conscience et en tenant compte de ma responsabilité envers la société.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1A76AA91" w:rsidR="00A37A7F" w:rsidRPr="00D466ED" w:rsidRDefault="00BA544B" w:rsidP="00D466ED">
            <w:r>
              <w:t>Je tire de mes expériences personnelles et sociales des enseignements que j’applique dans le cadre de mon comportement professionnel en tant qu’employé-e de commerce.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B828AD" w14:paraId="7FD9AABB" w14:textId="77777777" w:rsidTr="00C37F7F">
        <w:tc>
          <w:tcPr>
            <w:tcW w:w="7200" w:type="dxa"/>
          </w:tcPr>
          <w:p w14:paraId="5824E742" w14:textId="7E2C73AA" w:rsidR="00B828AD" w:rsidRPr="00B828AD" w:rsidRDefault="00BA544B" w:rsidP="00D466ED">
            <w:r>
              <w:t>Je réfléchis activement à mon identité et à la manière dont elle influence mon comportement au sein de l’entreprise et dans la société.</w:t>
            </w:r>
          </w:p>
        </w:tc>
        <w:tc>
          <w:tcPr>
            <w:tcW w:w="1757" w:type="dxa"/>
            <w:vAlign w:val="center"/>
          </w:tcPr>
          <w:p w14:paraId="1AC8B4E2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CFF6C7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53AFE5E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33D4054" w14:textId="77777777" w:rsidR="00B828AD" w:rsidRPr="00D466ED" w:rsidRDefault="00B828AD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82094"/>
    <w:rsid w:val="00083194"/>
    <w:rsid w:val="000938CF"/>
    <w:rsid w:val="000A041D"/>
    <w:rsid w:val="000B3893"/>
    <w:rsid w:val="000B766D"/>
    <w:rsid w:val="000C0C66"/>
    <w:rsid w:val="000D0008"/>
    <w:rsid w:val="000D52E6"/>
    <w:rsid w:val="000F5921"/>
    <w:rsid w:val="001034D4"/>
    <w:rsid w:val="00105D14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E1D12"/>
    <w:rsid w:val="00204FA0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87E4E"/>
    <w:rsid w:val="00394E44"/>
    <w:rsid w:val="003A5991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63D"/>
    <w:rsid w:val="006E52DF"/>
    <w:rsid w:val="006E5352"/>
    <w:rsid w:val="006F0578"/>
    <w:rsid w:val="00704260"/>
    <w:rsid w:val="0070519D"/>
    <w:rsid w:val="00706D6E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752E7"/>
    <w:rsid w:val="0078270D"/>
    <w:rsid w:val="007842ED"/>
    <w:rsid w:val="0079539E"/>
    <w:rsid w:val="007A2E56"/>
    <w:rsid w:val="007C0651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ED9"/>
    <w:rsid w:val="00983118"/>
    <w:rsid w:val="00987AC8"/>
    <w:rsid w:val="00994AC0"/>
    <w:rsid w:val="009B059F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6A39"/>
    <w:rsid w:val="00EA7F9F"/>
    <w:rsid w:val="00EB286E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5B4B"/>
    <w:rsid w:val="00FB1023"/>
    <w:rsid w:val="00FB4213"/>
    <w:rsid w:val="00FB6BF7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82488-2014-4427-812F-2FDC88E82EA5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773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6</cp:revision>
  <cp:lastPrinted>2014-05-13T11:37:00Z</cp:lastPrinted>
  <dcterms:created xsi:type="dcterms:W3CDTF">2025-09-12T08:04:00Z</dcterms:created>
  <dcterms:modified xsi:type="dcterms:W3CDTF">2025-11-20T11:07:00Z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