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72"/>
      </w:tblGrid>
      <w:tr w:rsidR="00AE0459" w14:paraId="16BD3E92" w14:textId="77777777">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072"/>
            </w:tblGrid>
            <w:tr w:rsidR="00AE0459" w14:paraId="0F99010E"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AE0459" w14:paraId="1A221833" w14:textId="77777777">
                    <w:tc>
                      <w:tcPr>
                        <w:tcW w:w="0" w:type="auto"/>
                        <w:vAlign w:val="center"/>
                        <w:hideMark/>
                      </w:tcPr>
                      <w:p w14:paraId="6E822ACD" w14:textId="34120A27" w:rsidR="00AE0459" w:rsidRPr="00AE0459" w:rsidRDefault="00AE0459">
                        <w:pPr>
                          <w:rPr>
                            <w:rFonts w:ascii="Arial" w:hAnsi="Arial" w:cs="Arial"/>
                            <w:b/>
                            <w:bCs/>
                            <w:sz w:val="32"/>
                            <w:szCs w:val="32"/>
                          </w:rPr>
                        </w:pPr>
                        <w:r w:rsidRPr="00AE0459">
                          <w:rPr>
                            <w:rFonts w:ascii="Arial" w:hAnsi="Arial" w:cs="Arial"/>
                            <w:b/>
                            <w:bCs/>
                            <w:sz w:val="32"/>
                            <w:szCs w:val="32"/>
                          </w:rPr>
                          <w:t>Movetia</w:t>
                        </w:r>
                        <w:r w:rsidRPr="00AE0459">
                          <w:rPr>
                            <w:rFonts w:ascii="Arial" w:hAnsi="Arial" w:cs="Arial"/>
                            <w:b/>
                            <w:bCs/>
                            <w:sz w:val="32"/>
                            <w:szCs w:val="32"/>
                          </w:rPr>
                          <w:t>.</w:t>
                        </w:r>
                        <w:r w:rsidRPr="00AE0459">
                          <w:rPr>
                            <w:rFonts w:ascii="Arial" w:hAnsi="Arial" w:cs="Arial"/>
                            <w:b/>
                            <w:bCs/>
                            <w:sz w:val="32"/>
                            <w:szCs w:val="32"/>
                          </w:rPr>
                          <w:br/>
                          <w:t xml:space="preserve">  </w:t>
                        </w:r>
                      </w:p>
                      <w:p w14:paraId="12B0EF4A" w14:textId="77777777" w:rsidR="00AE0459" w:rsidRDefault="00AE0459">
                        <w:pPr>
                          <w:pStyle w:val="Titre6"/>
                          <w:spacing w:before="0"/>
                          <w:rPr>
                            <w:rFonts w:ascii="Arial" w:eastAsia="Times New Roman" w:hAnsi="Arial" w:cs="Arial"/>
                            <w:color w:val="111111"/>
                            <w:sz w:val="27"/>
                            <w:szCs w:val="27"/>
                          </w:rPr>
                        </w:pPr>
                        <w:r>
                          <w:rPr>
                            <w:rStyle w:val="lev"/>
                            <w:rFonts w:ascii="Arial" w:eastAsia="Times New Roman" w:hAnsi="Arial" w:cs="Arial"/>
                            <w:b w:val="0"/>
                            <w:bCs w:val="0"/>
                            <w:color w:val="111111"/>
                            <w:sz w:val="27"/>
                            <w:szCs w:val="27"/>
                          </w:rPr>
                          <w:t>Perspectives 2026</w:t>
                        </w:r>
                      </w:p>
                      <w:p w14:paraId="28D8A441" w14:textId="77777777" w:rsidR="00AE0459" w:rsidRDefault="00AE0459">
                        <w:pPr>
                          <w:rPr>
                            <w:rFonts w:ascii="Arial" w:hAnsi="Arial" w:cs="Arial"/>
                            <w:sz w:val="21"/>
                            <w:szCs w:val="21"/>
                          </w:rPr>
                        </w:pPr>
                        <w:r>
                          <w:rPr>
                            <w:rFonts w:ascii="Arial" w:hAnsi="Arial" w:cs="Arial"/>
                            <w:sz w:val="21"/>
                            <w:szCs w:val="21"/>
                          </w:rPr>
                          <w:br/>
                        </w:r>
                        <w:r>
                          <w:rPr>
                            <w:rStyle w:val="lev"/>
                            <w:rFonts w:ascii="Arial" w:hAnsi="Arial" w:cs="Arial"/>
                            <w:sz w:val="21"/>
                            <w:szCs w:val="21"/>
                          </w:rPr>
                          <w:t>Budget des programme 2026</w:t>
                        </w:r>
                        <w:r>
                          <w:rPr>
                            <w:rFonts w:ascii="Arial" w:hAnsi="Arial" w:cs="Arial"/>
                            <w:sz w:val="21"/>
                            <w:szCs w:val="21"/>
                          </w:rPr>
                          <w:br/>
                        </w:r>
                        <w:r>
                          <w:rPr>
                            <w:rFonts w:ascii="Arial" w:hAnsi="Arial" w:cs="Arial"/>
                            <w:sz w:val="21"/>
                            <w:szCs w:val="21"/>
                          </w:rPr>
                          <w:br/>
                          <w:t>Les fonds disponibles pour les programmes connaissent une légère augmentation.</w:t>
                        </w:r>
                        <w:r>
                          <w:rPr>
                            <w:rFonts w:ascii="Arial" w:hAnsi="Arial" w:cs="Arial"/>
                            <w:sz w:val="21"/>
                            <w:szCs w:val="21"/>
                          </w:rPr>
                          <w:br/>
                          <w:t> </w:t>
                        </w:r>
                      </w:p>
                    </w:tc>
                  </w:tr>
                </w:tbl>
                <w:p w14:paraId="2907140D" w14:textId="77777777" w:rsidR="00AE0459" w:rsidRDefault="00AE0459">
                  <w:pPr>
                    <w:rPr>
                      <w:rFonts w:ascii="Times New Roman" w:eastAsia="Times New Roman" w:hAnsi="Times New Roman"/>
                      <w:sz w:val="20"/>
                      <w:szCs w:val="20"/>
                    </w:rPr>
                  </w:pPr>
                </w:p>
              </w:tc>
            </w:tr>
          </w:tbl>
          <w:p w14:paraId="7BCA30C0" w14:textId="77777777" w:rsidR="00AE0459" w:rsidRDefault="00AE0459">
            <w:pPr>
              <w:rPr>
                <w:rFonts w:ascii="Times New Roman" w:eastAsia="Times New Roman" w:hAnsi="Times New Roman"/>
                <w:sz w:val="20"/>
                <w:szCs w:val="20"/>
              </w:rPr>
            </w:pPr>
          </w:p>
        </w:tc>
      </w:tr>
    </w:tbl>
    <w:p w14:paraId="75163496" w14:textId="77777777" w:rsidR="00AE0459" w:rsidRDefault="00AE0459" w:rsidP="00AE0459">
      <w:pPr>
        <w:pStyle w:val="contentroot1"/>
        <w:spacing w:before="0" w:beforeAutospacing="0" w:after="0" w:afterAutospacing="0"/>
      </w:pPr>
    </w:p>
    <w:tbl>
      <w:tblPr>
        <w:tblW w:w="5000" w:type="pct"/>
        <w:tblCellSpacing w:w="0" w:type="dxa"/>
        <w:tblCellMar>
          <w:left w:w="0" w:type="dxa"/>
          <w:right w:w="0" w:type="dxa"/>
        </w:tblCellMar>
        <w:tblLook w:val="04A0" w:firstRow="1" w:lastRow="0" w:firstColumn="1" w:lastColumn="0" w:noHBand="0" w:noVBand="1"/>
      </w:tblPr>
      <w:tblGrid>
        <w:gridCol w:w="6047"/>
        <w:gridCol w:w="3025"/>
      </w:tblGrid>
      <w:tr w:rsidR="00AE0459" w14:paraId="5C1DA03F" w14:textId="77777777">
        <w:trPr>
          <w:tblCellSpacing w:w="0" w:type="dxa"/>
        </w:trPr>
        <w:tc>
          <w:tcPr>
            <w:tcW w:w="3300" w:type="pct"/>
            <w:hideMark/>
          </w:tcPr>
          <w:tbl>
            <w:tblPr>
              <w:tblW w:w="5000" w:type="pct"/>
              <w:tblCellMar>
                <w:left w:w="0" w:type="dxa"/>
                <w:right w:w="0" w:type="dxa"/>
              </w:tblCellMar>
              <w:tblLook w:val="04A0" w:firstRow="1" w:lastRow="0" w:firstColumn="1" w:lastColumn="0" w:noHBand="0" w:noVBand="1"/>
            </w:tblPr>
            <w:tblGrid>
              <w:gridCol w:w="6047"/>
            </w:tblGrid>
            <w:tr w:rsidR="00AE0459" w14:paraId="67E56F18"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6047"/>
                  </w:tblGrid>
                  <w:tr w:rsidR="00AE0459" w14:paraId="6AE1A68E" w14:textId="77777777">
                    <w:tc>
                      <w:tcPr>
                        <w:tcW w:w="0" w:type="auto"/>
                        <w:tcMar>
                          <w:top w:w="0" w:type="dxa"/>
                          <w:left w:w="300" w:type="dxa"/>
                          <w:bottom w:w="0" w:type="dxa"/>
                          <w:right w:w="75" w:type="dxa"/>
                        </w:tcMar>
                        <w:vAlign w:val="center"/>
                        <w:hideMark/>
                      </w:tcPr>
                      <w:p w14:paraId="6FEC5E9E" w14:textId="77777777" w:rsidR="00AE0459" w:rsidRDefault="00AE0459">
                        <w:pPr>
                          <w:rPr>
                            <w:rFonts w:ascii="Arial" w:hAnsi="Arial" w:cs="Arial"/>
                            <w:sz w:val="21"/>
                            <w:szCs w:val="21"/>
                          </w:rPr>
                        </w:pPr>
                        <w:r>
                          <w:rPr>
                            <w:rStyle w:val="lev"/>
                            <w:rFonts w:ascii="Arial" w:hAnsi="Arial" w:cs="Arial"/>
                            <w:sz w:val="21"/>
                            <w:szCs w:val="21"/>
                          </w:rPr>
                          <w:t>Programme</w:t>
                        </w:r>
                      </w:p>
                      <w:p w14:paraId="59F6C49D" w14:textId="77777777" w:rsidR="00AE0459" w:rsidRDefault="00AE0459">
                        <w:pPr>
                          <w:jc w:val="right"/>
                          <w:rPr>
                            <w:rFonts w:ascii="Arial" w:hAnsi="Arial" w:cs="Arial"/>
                            <w:sz w:val="21"/>
                            <w:szCs w:val="21"/>
                          </w:rPr>
                        </w:pPr>
                        <w:r>
                          <w:rPr>
                            <w:rFonts w:ascii="Arial" w:hAnsi="Arial" w:cs="Arial"/>
                            <w:sz w:val="21"/>
                            <w:szCs w:val="21"/>
                          </w:rPr>
                          <w:br/>
                          <w:t>Echange individuel national (NEA)</w:t>
                        </w:r>
                        <w:r>
                          <w:rPr>
                            <w:rFonts w:ascii="Arial" w:hAnsi="Arial" w:cs="Arial"/>
                            <w:sz w:val="21"/>
                            <w:szCs w:val="21"/>
                          </w:rPr>
                          <w:br/>
                          <w:t>Echange de classes (KLA)</w:t>
                        </w:r>
                        <w:r>
                          <w:rPr>
                            <w:rFonts w:ascii="Arial" w:hAnsi="Arial" w:cs="Arial"/>
                            <w:sz w:val="21"/>
                            <w:szCs w:val="21"/>
                          </w:rPr>
                          <w:br/>
                          <w:t>Stage d'observation et enseignement en Suisse (SOE)</w:t>
                        </w:r>
                        <w:r>
                          <w:rPr>
                            <w:rFonts w:ascii="Arial" w:hAnsi="Arial" w:cs="Arial"/>
                            <w:sz w:val="21"/>
                            <w:szCs w:val="21"/>
                          </w:rPr>
                          <w:br/>
                          <w:t>Echange pour futur-e-s enseignant-e-s en Suisse (NALE)</w:t>
                        </w:r>
                        <w:r>
                          <w:rPr>
                            <w:rFonts w:ascii="Arial" w:hAnsi="Arial" w:cs="Arial"/>
                            <w:sz w:val="21"/>
                            <w:szCs w:val="21"/>
                          </w:rPr>
                          <w:br/>
                          <w:t>Mobilité internationale (KA1)</w:t>
                        </w:r>
                        <w:r>
                          <w:rPr>
                            <w:rFonts w:ascii="Arial" w:hAnsi="Arial" w:cs="Arial"/>
                            <w:sz w:val="21"/>
                            <w:szCs w:val="21"/>
                          </w:rPr>
                          <w:br/>
                          <w:t>Programme d'assistance de langue</w:t>
                        </w:r>
                      </w:p>
                    </w:tc>
                  </w:tr>
                </w:tbl>
                <w:p w14:paraId="6DBF8886" w14:textId="77777777" w:rsidR="00AE0459" w:rsidRDefault="00AE0459">
                  <w:pPr>
                    <w:rPr>
                      <w:rFonts w:ascii="Times New Roman" w:eastAsia="Times New Roman" w:hAnsi="Times New Roman"/>
                      <w:sz w:val="20"/>
                      <w:szCs w:val="20"/>
                    </w:rPr>
                  </w:pPr>
                </w:p>
              </w:tc>
            </w:tr>
          </w:tbl>
          <w:p w14:paraId="67E3D3A4" w14:textId="77777777" w:rsidR="00AE0459" w:rsidRDefault="00AE0459">
            <w:pPr>
              <w:rPr>
                <w:rFonts w:ascii="Times New Roman" w:eastAsia="Times New Roman" w:hAnsi="Times New Roman"/>
                <w:sz w:val="20"/>
                <w:szCs w:val="20"/>
              </w:rPr>
            </w:pPr>
          </w:p>
        </w:tc>
        <w:tc>
          <w:tcPr>
            <w:tcW w:w="1650" w:type="pct"/>
            <w:hideMark/>
          </w:tcPr>
          <w:tbl>
            <w:tblPr>
              <w:tblW w:w="5000" w:type="pct"/>
              <w:tblCellMar>
                <w:left w:w="0" w:type="dxa"/>
                <w:right w:w="0" w:type="dxa"/>
              </w:tblCellMar>
              <w:tblLook w:val="04A0" w:firstRow="1" w:lastRow="0" w:firstColumn="1" w:lastColumn="0" w:noHBand="0" w:noVBand="1"/>
            </w:tblPr>
            <w:tblGrid>
              <w:gridCol w:w="3025"/>
            </w:tblGrid>
            <w:tr w:rsidR="00AE0459" w14:paraId="55434AD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3025"/>
                  </w:tblGrid>
                  <w:tr w:rsidR="00AE0459" w14:paraId="3CEC0099" w14:textId="77777777">
                    <w:tc>
                      <w:tcPr>
                        <w:tcW w:w="0" w:type="auto"/>
                        <w:tcMar>
                          <w:top w:w="0" w:type="dxa"/>
                          <w:left w:w="75" w:type="dxa"/>
                          <w:bottom w:w="0" w:type="dxa"/>
                          <w:right w:w="225" w:type="dxa"/>
                        </w:tcMar>
                        <w:vAlign w:val="center"/>
                        <w:hideMark/>
                      </w:tcPr>
                      <w:p w14:paraId="2A3B384F" w14:textId="77777777" w:rsidR="00AE0459" w:rsidRDefault="00AE0459">
                        <w:pPr>
                          <w:rPr>
                            <w:rFonts w:ascii="Arial" w:hAnsi="Arial" w:cs="Arial"/>
                            <w:sz w:val="21"/>
                            <w:szCs w:val="21"/>
                          </w:rPr>
                        </w:pPr>
                        <w:r>
                          <w:rPr>
                            <w:rStyle w:val="lev"/>
                            <w:rFonts w:ascii="Arial" w:hAnsi="Arial" w:cs="Arial"/>
                            <w:sz w:val="21"/>
                            <w:szCs w:val="21"/>
                          </w:rPr>
                          <w:t>Budget des programmes 2026 en CHF</w:t>
                        </w:r>
                        <w:r>
                          <w:rPr>
                            <w:rFonts w:ascii="Arial" w:hAnsi="Arial" w:cs="Arial"/>
                            <w:sz w:val="21"/>
                            <w:szCs w:val="21"/>
                          </w:rPr>
                          <w:br/>
                          <w:t>807’524</w:t>
                        </w:r>
                        <w:r>
                          <w:rPr>
                            <w:rFonts w:ascii="Arial" w:hAnsi="Arial" w:cs="Arial"/>
                            <w:sz w:val="21"/>
                            <w:szCs w:val="21"/>
                          </w:rPr>
                          <w:br/>
                          <w:t>1'519’827</w:t>
                        </w:r>
                        <w:r>
                          <w:rPr>
                            <w:rFonts w:ascii="Arial" w:hAnsi="Arial" w:cs="Arial"/>
                            <w:sz w:val="21"/>
                            <w:szCs w:val="21"/>
                          </w:rPr>
                          <w:br/>
                          <w:t>154’411</w:t>
                        </w:r>
                        <w:r>
                          <w:rPr>
                            <w:rFonts w:ascii="Arial" w:hAnsi="Arial" w:cs="Arial"/>
                            <w:sz w:val="21"/>
                            <w:szCs w:val="21"/>
                          </w:rPr>
                          <w:br/>
                          <w:t>1’132’346</w:t>
                        </w:r>
                        <w:r>
                          <w:rPr>
                            <w:rFonts w:ascii="Arial" w:hAnsi="Arial" w:cs="Arial"/>
                            <w:sz w:val="21"/>
                            <w:szCs w:val="21"/>
                          </w:rPr>
                          <w:br/>
                          <w:t>5'350’000</w:t>
                        </w:r>
                        <w:r>
                          <w:rPr>
                            <w:rFonts w:ascii="Arial" w:hAnsi="Arial" w:cs="Arial"/>
                            <w:sz w:val="21"/>
                            <w:szCs w:val="21"/>
                          </w:rPr>
                          <w:br/>
                          <w:t>40’000</w:t>
                        </w:r>
                      </w:p>
                    </w:tc>
                  </w:tr>
                </w:tbl>
                <w:p w14:paraId="44DFB583" w14:textId="77777777" w:rsidR="00AE0459" w:rsidRDefault="00AE0459">
                  <w:pPr>
                    <w:rPr>
                      <w:rFonts w:ascii="Times New Roman" w:eastAsia="Times New Roman" w:hAnsi="Times New Roman"/>
                      <w:sz w:val="20"/>
                      <w:szCs w:val="20"/>
                    </w:rPr>
                  </w:pPr>
                </w:p>
              </w:tc>
            </w:tr>
          </w:tbl>
          <w:p w14:paraId="119A00CE" w14:textId="77777777" w:rsidR="00AE0459" w:rsidRDefault="00AE0459">
            <w:pPr>
              <w:rPr>
                <w:rFonts w:ascii="Times New Roman" w:eastAsia="Times New Roman" w:hAnsi="Times New Roman"/>
                <w:sz w:val="20"/>
                <w:szCs w:val="20"/>
              </w:rPr>
            </w:pPr>
          </w:p>
        </w:tc>
      </w:tr>
    </w:tbl>
    <w:p w14:paraId="779980AD" w14:textId="77777777" w:rsidR="00AE0459" w:rsidRDefault="00AE0459" w:rsidP="00AE0459">
      <w:pPr>
        <w:pStyle w:val="contentroot1"/>
        <w:spacing w:before="0" w:beforeAutospacing="0" w:after="0" w:afterAutospacing="0"/>
      </w:pPr>
    </w:p>
    <w:tbl>
      <w:tblPr>
        <w:tblW w:w="5000" w:type="pct"/>
        <w:tblCellSpacing w:w="0" w:type="dxa"/>
        <w:tblCellMar>
          <w:left w:w="0" w:type="dxa"/>
          <w:right w:w="0" w:type="dxa"/>
        </w:tblCellMar>
        <w:tblLook w:val="04A0" w:firstRow="1" w:lastRow="0" w:firstColumn="1" w:lastColumn="0" w:noHBand="0" w:noVBand="1"/>
      </w:tblPr>
      <w:tblGrid>
        <w:gridCol w:w="9072"/>
      </w:tblGrid>
      <w:tr w:rsidR="00AE0459" w14:paraId="619A78E1" w14:textId="77777777">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072"/>
            </w:tblGrid>
            <w:tr w:rsidR="00AE0459" w14:paraId="024690D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AE0459" w14:paraId="26339556" w14:textId="77777777">
                    <w:tc>
                      <w:tcPr>
                        <w:tcW w:w="0" w:type="auto"/>
                        <w:vAlign w:val="center"/>
                        <w:hideMark/>
                      </w:tcPr>
                      <w:p w14:paraId="56EA6D59" w14:textId="77777777" w:rsidR="00AE0459" w:rsidRDefault="00AE0459">
                        <w:pPr>
                          <w:rPr>
                            <w:rFonts w:ascii="Arial" w:hAnsi="Arial" w:cs="Arial"/>
                            <w:sz w:val="21"/>
                            <w:szCs w:val="21"/>
                          </w:rPr>
                        </w:pPr>
                        <w:r>
                          <w:rPr>
                            <w:rStyle w:val="lev"/>
                            <w:rFonts w:ascii="Arial" w:hAnsi="Arial" w:cs="Arial"/>
                            <w:sz w:val="21"/>
                            <w:szCs w:val="21"/>
                          </w:rPr>
                          <w:t>Nouveautés dans les programmes</w:t>
                        </w:r>
                        <w:r>
                          <w:rPr>
                            <w:rFonts w:ascii="Arial" w:hAnsi="Arial" w:cs="Arial"/>
                            <w:sz w:val="21"/>
                            <w:szCs w:val="21"/>
                          </w:rPr>
                          <w:br/>
                        </w:r>
                        <w:r>
                          <w:rPr>
                            <w:rFonts w:ascii="Arial" w:hAnsi="Arial" w:cs="Arial"/>
                            <w:sz w:val="21"/>
                            <w:szCs w:val="21"/>
                          </w:rPr>
                          <w:br/>
                          <w:t xml:space="preserve">En 2026, plusieurs programmes de Movetia feront l’objet </w:t>
                        </w:r>
                        <w:proofErr w:type="gramStart"/>
                        <w:r>
                          <w:rPr>
                            <w:rFonts w:ascii="Arial" w:hAnsi="Arial" w:cs="Arial"/>
                            <w:sz w:val="21"/>
                            <w:szCs w:val="21"/>
                          </w:rPr>
                          <w:t>d’ajustements:</w:t>
                        </w:r>
                        <w:proofErr w:type="gramEnd"/>
                        <w:r>
                          <w:rPr>
                            <w:rFonts w:ascii="Arial" w:hAnsi="Arial" w:cs="Arial"/>
                            <w:sz w:val="21"/>
                            <w:szCs w:val="21"/>
                          </w:rPr>
                          <w:t xml:space="preserve"> </w:t>
                        </w:r>
                      </w:p>
                      <w:p w14:paraId="7A71DCF3" w14:textId="77777777" w:rsidR="00AE0459" w:rsidRDefault="00AE0459" w:rsidP="007A3453">
                        <w:pPr>
                          <w:numPr>
                            <w:ilvl w:val="0"/>
                            <w:numId w:val="2"/>
                          </w:numPr>
                          <w:spacing w:before="100" w:beforeAutospacing="1" w:after="100" w:afterAutospacing="1"/>
                          <w:rPr>
                            <w:rFonts w:ascii="Arial" w:eastAsia="Times New Roman" w:hAnsi="Arial" w:cs="Arial"/>
                            <w:sz w:val="21"/>
                            <w:szCs w:val="21"/>
                          </w:rPr>
                        </w:pPr>
                        <w:r>
                          <w:rPr>
                            <w:rFonts w:ascii="Arial" w:eastAsia="Times New Roman" w:hAnsi="Arial" w:cs="Arial"/>
                            <w:sz w:val="21"/>
                            <w:szCs w:val="21"/>
                          </w:rPr>
                          <w:t>Dans le cadre de l'</w:t>
                        </w:r>
                        <w:r>
                          <w:rPr>
                            <w:rStyle w:val="lev"/>
                            <w:rFonts w:ascii="Arial" w:eastAsia="Times New Roman" w:hAnsi="Arial" w:cs="Arial"/>
                            <w:sz w:val="21"/>
                            <w:szCs w:val="21"/>
                          </w:rPr>
                          <w:t>échange individuel national (NEA)</w:t>
                        </w:r>
                        <w:r>
                          <w:rPr>
                            <w:rFonts w:ascii="Arial" w:eastAsia="Times New Roman" w:hAnsi="Arial" w:cs="Arial"/>
                            <w:sz w:val="21"/>
                            <w:szCs w:val="21"/>
                          </w:rPr>
                          <w:t xml:space="preserve">, la durée minimale des échanges sera réduite de 10 à 5 jours dès 2026. De plus, le forfait organisationnel sera simplifié : il s’élève désormais à 150 CHF par </w:t>
                        </w:r>
                        <w:proofErr w:type="spellStart"/>
                        <w:r>
                          <w:rPr>
                            <w:rFonts w:ascii="Arial" w:eastAsia="Times New Roman" w:hAnsi="Arial" w:cs="Arial"/>
                            <w:sz w:val="21"/>
                            <w:szCs w:val="21"/>
                          </w:rPr>
                          <w:t>participant-e</w:t>
                        </w:r>
                        <w:proofErr w:type="spellEnd"/>
                        <w:r>
                          <w:rPr>
                            <w:rFonts w:ascii="Arial" w:eastAsia="Times New Roman" w:hAnsi="Arial" w:cs="Arial"/>
                            <w:sz w:val="21"/>
                            <w:szCs w:val="21"/>
                          </w:rPr>
                          <w:t xml:space="preserve">, quelle que soit la taille du groupe. </w:t>
                        </w:r>
                      </w:p>
                      <w:p w14:paraId="7D364C83" w14:textId="77777777" w:rsidR="00AE0459" w:rsidRDefault="00AE0459" w:rsidP="007A3453">
                        <w:pPr>
                          <w:numPr>
                            <w:ilvl w:val="0"/>
                            <w:numId w:val="2"/>
                          </w:numPr>
                          <w:spacing w:before="100" w:beforeAutospacing="1" w:after="100" w:afterAutospacing="1"/>
                          <w:rPr>
                            <w:rFonts w:ascii="Arial" w:eastAsia="Times New Roman" w:hAnsi="Arial" w:cs="Arial"/>
                            <w:sz w:val="21"/>
                            <w:szCs w:val="21"/>
                          </w:rPr>
                        </w:pPr>
                        <w:r>
                          <w:rPr>
                            <w:rFonts w:ascii="Arial" w:eastAsia="Times New Roman" w:hAnsi="Arial" w:cs="Arial"/>
                            <w:sz w:val="21"/>
                            <w:szCs w:val="21"/>
                          </w:rPr>
                          <w:t xml:space="preserve">Dans le programme </w:t>
                        </w:r>
                        <w:r>
                          <w:rPr>
                            <w:rStyle w:val="lev"/>
                            <w:rFonts w:ascii="Arial" w:eastAsia="Times New Roman" w:hAnsi="Arial" w:cs="Arial"/>
                            <w:sz w:val="21"/>
                            <w:szCs w:val="21"/>
                          </w:rPr>
                          <w:t>Stage d'observation et enseignement en Suisse (SOE)</w:t>
                        </w:r>
                        <w:r>
                          <w:rPr>
                            <w:rFonts w:ascii="Arial" w:eastAsia="Times New Roman" w:hAnsi="Arial" w:cs="Arial"/>
                            <w:sz w:val="21"/>
                            <w:szCs w:val="21"/>
                          </w:rPr>
                          <w:t xml:space="preserve">, le forfait d’organisation sera versé par mobilité et non plus par institution participante. Le montant reste inchangé à 240 CHF. </w:t>
                        </w:r>
                      </w:p>
                      <w:p w14:paraId="27222FB5" w14:textId="77777777" w:rsidR="00AE0459" w:rsidRDefault="00AE0459" w:rsidP="007A3453">
                        <w:pPr>
                          <w:numPr>
                            <w:ilvl w:val="0"/>
                            <w:numId w:val="2"/>
                          </w:numPr>
                          <w:spacing w:before="100" w:beforeAutospacing="1" w:after="100" w:afterAutospacing="1"/>
                          <w:rPr>
                            <w:rFonts w:ascii="Arial" w:eastAsia="Times New Roman" w:hAnsi="Arial" w:cs="Arial"/>
                            <w:sz w:val="21"/>
                            <w:szCs w:val="21"/>
                          </w:rPr>
                        </w:pPr>
                        <w:r>
                          <w:rPr>
                            <w:rFonts w:ascii="Arial" w:eastAsia="Times New Roman" w:hAnsi="Arial" w:cs="Arial"/>
                            <w:sz w:val="21"/>
                            <w:szCs w:val="21"/>
                          </w:rPr>
                          <w:t xml:space="preserve">Pour le programme </w:t>
                        </w:r>
                        <w:r>
                          <w:rPr>
                            <w:rStyle w:val="lev"/>
                            <w:rFonts w:ascii="Arial" w:eastAsia="Times New Roman" w:hAnsi="Arial" w:cs="Arial"/>
                            <w:sz w:val="21"/>
                            <w:szCs w:val="21"/>
                          </w:rPr>
                          <w:t>Echange pour futur-e-s enseignant-e-s en Suisse (NALE)</w:t>
                        </w:r>
                        <w:r>
                          <w:rPr>
                            <w:rFonts w:ascii="Arial" w:eastAsia="Times New Roman" w:hAnsi="Arial" w:cs="Arial"/>
                            <w:sz w:val="21"/>
                            <w:szCs w:val="21"/>
                          </w:rPr>
                          <w:t xml:space="preserve">, à partir de 2026, les projets de coopération pourront être soumis en continu et ne seront plus liés à des délais fixes. </w:t>
                        </w:r>
                      </w:p>
                      <w:p w14:paraId="658CFECE" w14:textId="77777777" w:rsidR="00AE0459" w:rsidRDefault="00AE0459">
                        <w:pPr>
                          <w:rPr>
                            <w:rFonts w:ascii="Arial" w:hAnsi="Arial" w:cs="Arial"/>
                            <w:sz w:val="21"/>
                            <w:szCs w:val="21"/>
                          </w:rPr>
                        </w:pPr>
                        <w:r>
                          <w:rPr>
                            <w:rFonts w:ascii="Arial" w:hAnsi="Arial" w:cs="Arial"/>
                            <w:sz w:val="21"/>
                            <w:szCs w:val="21"/>
                          </w:rPr>
                          <w:t>Enfin, à partir du printemps, tous les programmes nationaux pourront être gérés via la nouvelle plateforme de candidature. Les processus de candidature seront ainsi harmonisés et simplifiés pour toutes les personnes concernées. Des informations détaillées suivront au printemps.</w:t>
                        </w:r>
                        <w:r>
                          <w:rPr>
                            <w:rFonts w:ascii="Arial" w:hAnsi="Arial" w:cs="Arial"/>
                            <w:sz w:val="21"/>
                            <w:szCs w:val="21"/>
                          </w:rPr>
                          <w:br/>
                        </w:r>
                        <w:r>
                          <w:rPr>
                            <w:rFonts w:ascii="Arial" w:hAnsi="Arial" w:cs="Arial"/>
                            <w:sz w:val="21"/>
                            <w:szCs w:val="21"/>
                          </w:rPr>
                          <w:br/>
                        </w:r>
                        <w:r>
                          <w:rPr>
                            <w:rStyle w:val="lev"/>
                            <w:rFonts w:ascii="Arial" w:hAnsi="Arial" w:cs="Arial"/>
                            <w:sz w:val="21"/>
                            <w:szCs w:val="21"/>
                          </w:rPr>
                          <w:t>Priorités pour 2026</w:t>
                        </w:r>
                        <w:r>
                          <w:rPr>
                            <w:rFonts w:ascii="Arial" w:hAnsi="Arial" w:cs="Arial"/>
                            <w:sz w:val="21"/>
                            <w:szCs w:val="21"/>
                          </w:rPr>
                          <w:br/>
                        </w:r>
                        <w:r>
                          <w:rPr>
                            <w:rFonts w:ascii="Arial" w:hAnsi="Arial" w:cs="Arial"/>
                            <w:sz w:val="21"/>
                            <w:szCs w:val="21"/>
                          </w:rPr>
                          <w:br/>
                          <w:t>L’échange linguistique reste un levier central pour un apprentissage efficace des langues. C’est également l’avis de la CDIP, qui a inscrit l’intensification des activités d’échange parmi ses priorités. Movetia soutiendra cela en consolidant le modèle par niveaux et en poursuivant la Semaine nationale de l'échange. Le label de l’échange, testé avec succès en Valais, sera développé avec vous. Nous vous contacterons à ce sujet au cours de l’été.</w:t>
                        </w:r>
                        <w:r>
                          <w:rPr>
                            <w:rFonts w:ascii="Arial" w:hAnsi="Arial" w:cs="Arial"/>
                            <w:sz w:val="21"/>
                            <w:szCs w:val="21"/>
                          </w:rPr>
                          <w:br/>
                        </w:r>
                        <w:r>
                          <w:rPr>
                            <w:rFonts w:ascii="Arial" w:hAnsi="Arial" w:cs="Arial"/>
                            <w:sz w:val="21"/>
                            <w:szCs w:val="21"/>
                          </w:rPr>
                          <w:br/>
                          <w:t>Parallèlement, de nouvelles perspectives s’ouvrent au niveau européen. Le 10 novembre 2025, la Suisse et l’Union européenne ont signé l’accord de participation de la Suisse aux programmes de l’UE (EUPA), prévoyant une association de la Suisse à Erasmus+ dès 2027. La validation parlementaire du financement reste toutefois à obtenir et n’est attendue qu’à l’automne 2026. Movetia prépare dès maintenant son accréditation en tant qu’agence nationale Erasmus+. Les opportunités offertes par Erasmus+ pour l’enseignement scolaire sont clairement envisagées comme un complément aux formats d’échange nationaux. Une association de la Suisse à Erasmus+ constituerait un signal fort pour le renforcement de l’éducation dans son ensemble.</w:t>
                        </w:r>
                        <w:r>
                          <w:rPr>
                            <w:rFonts w:ascii="Arial" w:hAnsi="Arial" w:cs="Arial"/>
                            <w:sz w:val="21"/>
                            <w:szCs w:val="21"/>
                          </w:rPr>
                          <w:br/>
                        </w:r>
                        <w:r>
                          <w:rPr>
                            <w:rFonts w:ascii="Arial" w:hAnsi="Arial" w:cs="Arial"/>
                            <w:sz w:val="21"/>
                            <w:szCs w:val="21"/>
                          </w:rPr>
                          <w:br/>
                          <w:t xml:space="preserve">Quoi qu’il advienne politiquement, si l'association devait être retardée ou ne pas aboutir, la solution suisse à Erasmus+ serait maintenue en 2027. La mobilité depuis et vers la Suisse </w:t>
                        </w:r>
                        <w:r>
                          <w:rPr>
                            <w:rFonts w:ascii="Arial" w:hAnsi="Arial" w:cs="Arial"/>
                            <w:sz w:val="21"/>
                            <w:szCs w:val="21"/>
                          </w:rPr>
                          <w:lastRenderedPageBreak/>
                          <w:t>resterait ainsi assurée.</w:t>
                        </w:r>
                        <w:r>
                          <w:rPr>
                            <w:rFonts w:ascii="Arial" w:hAnsi="Arial" w:cs="Arial"/>
                            <w:sz w:val="21"/>
                            <w:szCs w:val="21"/>
                          </w:rPr>
                          <w:br/>
                          <w:t xml:space="preserve">  </w:t>
                        </w:r>
                      </w:p>
                      <w:p w14:paraId="6D180CAF" w14:textId="77777777" w:rsidR="00AE0459" w:rsidRDefault="00AE0459">
                        <w:pPr>
                          <w:pStyle w:val="Titre6"/>
                          <w:spacing w:before="0"/>
                          <w:rPr>
                            <w:rFonts w:ascii="Arial" w:eastAsia="Times New Roman" w:hAnsi="Arial" w:cs="Arial"/>
                            <w:color w:val="111111"/>
                            <w:sz w:val="27"/>
                            <w:szCs w:val="27"/>
                          </w:rPr>
                        </w:pPr>
                        <w:r>
                          <w:rPr>
                            <w:rStyle w:val="lev"/>
                            <w:rFonts w:ascii="Arial" w:eastAsia="Times New Roman" w:hAnsi="Arial" w:cs="Arial"/>
                            <w:b w:val="0"/>
                            <w:bCs w:val="0"/>
                            <w:color w:val="111111"/>
                            <w:sz w:val="27"/>
                            <w:szCs w:val="27"/>
                          </w:rPr>
                          <w:t>Rétrospective 2025 – chiffres clés sélectionnés</w:t>
                        </w:r>
                      </w:p>
                      <w:p w14:paraId="4EAB8C56" w14:textId="77777777" w:rsidR="00AE0459" w:rsidRDefault="00AE0459">
                        <w:pPr>
                          <w:rPr>
                            <w:rFonts w:ascii="Arial" w:hAnsi="Arial" w:cs="Arial"/>
                            <w:sz w:val="21"/>
                            <w:szCs w:val="21"/>
                          </w:rPr>
                        </w:pPr>
                        <w:r>
                          <w:rPr>
                            <w:rFonts w:ascii="Arial" w:hAnsi="Arial" w:cs="Arial"/>
                            <w:sz w:val="21"/>
                            <w:szCs w:val="21"/>
                          </w:rPr>
                          <w:br/>
                        </w:r>
                        <w:r>
                          <w:rPr>
                            <w:rStyle w:val="lev"/>
                            <w:rFonts w:ascii="Arial" w:hAnsi="Arial" w:cs="Arial"/>
                            <w:sz w:val="21"/>
                            <w:szCs w:val="21"/>
                          </w:rPr>
                          <w:t>Statistiques</w:t>
                        </w:r>
                        <w:r>
                          <w:rPr>
                            <w:rFonts w:ascii="Arial" w:hAnsi="Arial" w:cs="Arial"/>
                            <w:sz w:val="21"/>
                            <w:szCs w:val="21"/>
                          </w:rPr>
                          <w:br/>
                        </w:r>
                        <w:r>
                          <w:rPr>
                            <w:rFonts w:ascii="Arial" w:hAnsi="Arial" w:cs="Arial"/>
                            <w:sz w:val="21"/>
                            <w:szCs w:val="21"/>
                          </w:rPr>
                          <w:br/>
                        </w:r>
                        <w:r>
                          <w:rPr>
                            <w:rStyle w:val="Accentuation"/>
                            <w:rFonts w:ascii="Arial" w:hAnsi="Arial" w:cs="Arial"/>
                            <w:sz w:val="21"/>
                            <w:szCs w:val="21"/>
                          </w:rPr>
                          <w:t>Échanges nationaux</w:t>
                        </w:r>
                        <w:r>
                          <w:rPr>
                            <w:rFonts w:ascii="Arial" w:hAnsi="Arial" w:cs="Arial"/>
                            <w:sz w:val="21"/>
                            <w:szCs w:val="21"/>
                          </w:rPr>
                          <w:br/>
                          <w:t xml:space="preserve">En 2025, les échanges de classes ont à nouveau connu une forte augmentation. Nous avons pu soutenir près de 30% d'échanges supplémentaires. Un grand </w:t>
                        </w:r>
                        <w:r>
                          <w:rPr>
                            <w:rStyle w:val="lev"/>
                            <w:rFonts w:ascii="Arial" w:hAnsi="Arial" w:cs="Arial"/>
                            <w:sz w:val="21"/>
                            <w:szCs w:val="21"/>
                          </w:rPr>
                          <w:t xml:space="preserve">merci </w:t>
                        </w:r>
                        <w:r>
                          <w:rPr>
                            <w:rFonts w:ascii="Arial" w:hAnsi="Arial" w:cs="Arial"/>
                            <w:sz w:val="21"/>
                            <w:szCs w:val="21"/>
                          </w:rPr>
                          <w:t>à vous toutes et tous pour les efforts considérables déployés dans vos cantons.</w:t>
                        </w:r>
                      </w:p>
                    </w:tc>
                  </w:tr>
                </w:tbl>
                <w:p w14:paraId="23F4D2C5" w14:textId="77777777" w:rsidR="00AE0459" w:rsidRDefault="00AE0459">
                  <w:pPr>
                    <w:rPr>
                      <w:rFonts w:ascii="Times New Roman" w:eastAsia="Times New Roman" w:hAnsi="Times New Roman"/>
                      <w:sz w:val="20"/>
                      <w:szCs w:val="20"/>
                    </w:rPr>
                  </w:pPr>
                </w:p>
              </w:tc>
            </w:tr>
            <w:tr w:rsidR="00AE0459" w14:paraId="108BFBF3"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AE0459" w14:paraId="6CC1AB64" w14:textId="77777777">
                    <w:tc>
                      <w:tcPr>
                        <w:tcW w:w="0" w:type="auto"/>
                        <w:vAlign w:val="center"/>
                        <w:hideMark/>
                      </w:tcPr>
                      <w:p w14:paraId="682EF6DF" w14:textId="491434B3" w:rsidR="00AE0459" w:rsidRDefault="00AE0459">
                        <w:pPr>
                          <w:jc w:val="center"/>
                        </w:pPr>
                        <w:r>
                          <w:rPr>
                            <w:noProof/>
                          </w:rPr>
                          <w:lastRenderedPageBreak/>
                          <w:drawing>
                            <wp:inline distT="0" distB="0" distL="0" distR="0" wp14:anchorId="3DFB2DC1" wp14:editId="0FF51ADC">
                              <wp:extent cx="5713095" cy="3268345"/>
                              <wp:effectExtent l="0" t="0" r="1905" b="8255"/>
                              <wp:docPr id="5352001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3095" cy="3268345"/>
                                      </a:xfrm>
                                      <a:prstGeom prst="rect">
                                        <a:avLst/>
                                      </a:prstGeom>
                                      <a:noFill/>
                                      <a:ln>
                                        <a:noFill/>
                                      </a:ln>
                                    </pic:spPr>
                                  </pic:pic>
                                </a:graphicData>
                              </a:graphic>
                            </wp:inline>
                          </w:drawing>
                        </w:r>
                      </w:p>
                    </w:tc>
                  </w:tr>
                </w:tbl>
                <w:p w14:paraId="5CD91F20" w14:textId="77777777" w:rsidR="00AE0459" w:rsidRDefault="00AE0459">
                  <w:pPr>
                    <w:rPr>
                      <w:rFonts w:ascii="Times New Roman" w:eastAsia="Times New Roman" w:hAnsi="Times New Roman"/>
                      <w:sz w:val="20"/>
                      <w:szCs w:val="20"/>
                    </w:rPr>
                  </w:pPr>
                </w:p>
              </w:tc>
            </w:tr>
          </w:tbl>
          <w:p w14:paraId="654D4D47" w14:textId="77777777" w:rsidR="00AE0459" w:rsidRDefault="00AE0459">
            <w:pPr>
              <w:rPr>
                <w:rFonts w:ascii="Times New Roman" w:eastAsia="Times New Roman" w:hAnsi="Times New Roman"/>
                <w:sz w:val="20"/>
                <w:szCs w:val="20"/>
              </w:rPr>
            </w:pPr>
          </w:p>
        </w:tc>
      </w:tr>
    </w:tbl>
    <w:p w14:paraId="7E1C32A4" w14:textId="77777777" w:rsidR="00AE0459" w:rsidRDefault="00AE0459" w:rsidP="00AE0459">
      <w:pPr>
        <w:pStyle w:val="contentroot1"/>
        <w:spacing w:before="0" w:beforeAutospacing="0" w:after="0" w:afterAutospacing="0"/>
      </w:pPr>
    </w:p>
    <w:tbl>
      <w:tblPr>
        <w:tblW w:w="5000" w:type="pct"/>
        <w:tblCellSpacing w:w="0" w:type="dxa"/>
        <w:tblCellMar>
          <w:left w:w="0" w:type="dxa"/>
          <w:right w:w="0" w:type="dxa"/>
        </w:tblCellMar>
        <w:tblLook w:val="04A0" w:firstRow="1" w:lastRow="0" w:firstColumn="1" w:lastColumn="0" w:noHBand="0" w:noVBand="1"/>
      </w:tblPr>
      <w:tblGrid>
        <w:gridCol w:w="9072"/>
      </w:tblGrid>
      <w:tr w:rsidR="00AE0459" w14:paraId="6D29CC14" w14:textId="77777777">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072"/>
            </w:tblGrid>
            <w:tr w:rsidR="00AE0459" w14:paraId="56D9021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AE0459" w14:paraId="2D5782EC" w14:textId="77777777">
                    <w:tc>
                      <w:tcPr>
                        <w:tcW w:w="0" w:type="auto"/>
                        <w:vAlign w:val="center"/>
                        <w:hideMark/>
                      </w:tcPr>
                      <w:p w14:paraId="1ACFB4CB" w14:textId="77777777" w:rsidR="00AE0459" w:rsidRDefault="00AE0459">
                        <w:pPr>
                          <w:rPr>
                            <w:rFonts w:ascii="Arial" w:hAnsi="Arial" w:cs="Arial"/>
                            <w:sz w:val="21"/>
                            <w:szCs w:val="21"/>
                          </w:rPr>
                        </w:pPr>
                        <w:r>
                          <w:rPr>
                            <w:rFonts w:ascii="Arial" w:hAnsi="Arial" w:cs="Arial"/>
                            <w:sz w:val="21"/>
                            <w:szCs w:val="21"/>
                          </w:rPr>
                          <w:t>En février, nous publierons sur l'intranet KAV une liste de tous les projets d'échange subventionnés par canton. Elle comprendra les noms des écoles ainsi que le nombre de mobilités soutenues.</w:t>
                        </w:r>
                        <w:r>
                          <w:rPr>
                            <w:rFonts w:ascii="Arial" w:hAnsi="Arial" w:cs="Arial"/>
                            <w:sz w:val="21"/>
                            <w:szCs w:val="21"/>
                          </w:rPr>
                          <w:br/>
                        </w:r>
                        <w:r>
                          <w:rPr>
                            <w:rFonts w:ascii="Arial" w:hAnsi="Arial" w:cs="Arial"/>
                            <w:sz w:val="21"/>
                            <w:szCs w:val="21"/>
                          </w:rPr>
                          <w:br/>
                        </w:r>
                        <w:r>
                          <w:rPr>
                            <w:rStyle w:val="Accentuation"/>
                            <w:rFonts w:ascii="Arial" w:hAnsi="Arial" w:cs="Arial"/>
                            <w:sz w:val="21"/>
                            <w:szCs w:val="21"/>
                          </w:rPr>
                          <w:t>Mobilité internationale</w:t>
                        </w:r>
                        <w:r>
                          <w:rPr>
                            <w:rFonts w:ascii="Arial" w:hAnsi="Arial" w:cs="Arial"/>
                            <w:sz w:val="21"/>
                            <w:szCs w:val="21"/>
                          </w:rPr>
                          <w:br/>
                          <w:t>Au niveau international également, le nombre de mobilités soutenues a augmenté. En 2025, nous avons ainsi soutenu au total 2'243 mobilités, contre 1'896 en 2024. La croissance est particulièrement marquée dans le cas des échanges de groupes axés sur des projets. </w:t>
                        </w:r>
                      </w:p>
                    </w:tc>
                  </w:tr>
                </w:tbl>
                <w:p w14:paraId="114673E6" w14:textId="77777777" w:rsidR="00AE0459" w:rsidRDefault="00AE0459">
                  <w:pPr>
                    <w:rPr>
                      <w:rFonts w:ascii="Times New Roman" w:eastAsia="Times New Roman" w:hAnsi="Times New Roman"/>
                      <w:sz w:val="20"/>
                      <w:szCs w:val="20"/>
                    </w:rPr>
                  </w:pPr>
                </w:p>
              </w:tc>
            </w:tr>
            <w:tr w:rsidR="00AE0459" w14:paraId="60472831"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AE0459" w14:paraId="1BAF01C2" w14:textId="77777777">
                    <w:tc>
                      <w:tcPr>
                        <w:tcW w:w="0" w:type="auto"/>
                        <w:vAlign w:val="center"/>
                        <w:hideMark/>
                      </w:tcPr>
                      <w:p w14:paraId="5E3112E7" w14:textId="03D2F250" w:rsidR="00AE0459" w:rsidRDefault="00AE0459">
                        <w:pPr>
                          <w:jc w:val="center"/>
                        </w:pPr>
                        <w:r>
                          <w:rPr>
                            <w:noProof/>
                          </w:rPr>
                          <w:lastRenderedPageBreak/>
                          <w:drawing>
                            <wp:inline distT="0" distB="0" distL="0" distR="0" wp14:anchorId="681717C2" wp14:editId="297EE2E3">
                              <wp:extent cx="5713095" cy="3164840"/>
                              <wp:effectExtent l="0" t="0" r="1905" b="0"/>
                              <wp:docPr id="13499548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3095" cy="3164840"/>
                                      </a:xfrm>
                                      <a:prstGeom prst="rect">
                                        <a:avLst/>
                                      </a:prstGeom>
                                      <a:noFill/>
                                      <a:ln>
                                        <a:noFill/>
                                      </a:ln>
                                    </pic:spPr>
                                  </pic:pic>
                                </a:graphicData>
                              </a:graphic>
                            </wp:inline>
                          </w:drawing>
                        </w:r>
                      </w:p>
                    </w:tc>
                  </w:tr>
                </w:tbl>
                <w:p w14:paraId="23E34127" w14:textId="77777777" w:rsidR="00AE0459" w:rsidRDefault="00AE0459">
                  <w:pPr>
                    <w:rPr>
                      <w:rFonts w:ascii="Times New Roman" w:eastAsia="Times New Roman" w:hAnsi="Times New Roman"/>
                      <w:sz w:val="20"/>
                      <w:szCs w:val="20"/>
                    </w:rPr>
                  </w:pPr>
                </w:p>
              </w:tc>
            </w:tr>
          </w:tbl>
          <w:p w14:paraId="24DDD464" w14:textId="77777777" w:rsidR="00AE0459" w:rsidRDefault="00AE0459">
            <w:pPr>
              <w:rPr>
                <w:rFonts w:ascii="Times New Roman" w:eastAsia="Times New Roman" w:hAnsi="Times New Roman"/>
                <w:sz w:val="20"/>
                <w:szCs w:val="20"/>
              </w:rPr>
            </w:pPr>
          </w:p>
        </w:tc>
      </w:tr>
    </w:tbl>
    <w:p w14:paraId="77870D9A" w14:textId="77777777" w:rsidR="00AE0459" w:rsidRDefault="00AE0459" w:rsidP="00AE0459">
      <w:pPr>
        <w:pStyle w:val="contentroot1"/>
        <w:spacing w:before="0" w:beforeAutospacing="0" w:after="0" w:afterAutospacing="0"/>
      </w:pPr>
    </w:p>
    <w:tbl>
      <w:tblPr>
        <w:tblW w:w="5000" w:type="pct"/>
        <w:tblCellSpacing w:w="0" w:type="dxa"/>
        <w:tblCellMar>
          <w:left w:w="0" w:type="dxa"/>
          <w:right w:w="0" w:type="dxa"/>
        </w:tblCellMar>
        <w:tblLook w:val="04A0" w:firstRow="1" w:lastRow="0" w:firstColumn="1" w:lastColumn="0" w:noHBand="0" w:noVBand="1"/>
      </w:tblPr>
      <w:tblGrid>
        <w:gridCol w:w="9072"/>
      </w:tblGrid>
      <w:tr w:rsidR="00AE0459" w14:paraId="2746A480" w14:textId="77777777">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072"/>
            </w:tblGrid>
            <w:tr w:rsidR="00AE0459" w14:paraId="291F977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AE0459" w14:paraId="27526AB3" w14:textId="77777777">
                    <w:tc>
                      <w:tcPr>
                        <w:tcW w:w="0" w:type="auto"/>
                        <w:vAlign w:val="center"/>
                        <w:hideMark/>
                      </w:tcPr>
                      <w:p w14:paraId="1321D458" w14:textId="77777777" w:rsidR="00AE0459" w:rsidRDefault="00AE0459">
                        <w:pPr>
                          <w:pStyle w:val="Titre6"/>
                          <w:spacing w:before="0"/>
                          <w:rPr>
                            <w:rFonts w:ascii="Arial" w:eastAsia="Times New Roman" w:hAnsi="Arial" w:cs="Arial"/>
                            <w:color w:val="111111"/>
                            <w:sz w:val="27"/>
                            <w:szCs w:val="27"/>
                          </w:rPr>
                        </w:pPr>
                        <w:r>
                          <w:rPr>
                            <w:rFonts w:ascii="Arial" w:eastAsia="Times New Roman" w:hAnsi="Arial" w:cs="Arial"/>
                            <w:color w:val="111111"/>
                            <w:sz w:val="27"/>
                            <w:szCs w:val="27"/>
                          </w:rPr>
                          <w:br/>
                        </w:r>
                        <w:r>
                          <w:rPr>
                            <w:rStyle w:val="lev"/>
                            <w:rFonts w:ascii="Arial" w:eastAsia="Times New Roman" w:hAnsi="Arial" w:cs="Arial"/>
                            <w:b w:val="0"/>
                            <w:bCs w:val="0"/>
                            <w:color w:val="111111"/>
                            <w:sz w:val="27"/>
                            <w:szCs w:val="27"/>
                          </w:rPr>
                          <w:t>Sondage sur la collaboration avec les HEP</w:t>
                        </w:r>
                      </w:p>
                      <w:p w14:paraId="13DBF024" w14:textId="77777777" w:rsidR="00AE0459" w:rsidRDefault="00AE0459">
                        <w:pPr>
                          <w:rPr>
                            <w:rFonts w:ascii="Arial" w:hAnsi="Arial" w:cs="Arial"/>
                            <w:sz w:val="21"/>
                            <w:szCs w:val="21"/>
                          </w:rPr>
                        </w:pPr>
                        <w:r>
                          <w:rPr>
                            <w:rFonts w:ascii="Arial" w:hAnsi="Arial" w:cs="Arial"/>
                            <w:sz w:val="21"/>
                            <w:szCs w:val="21"/>
                          </w:rPr>
                          <w:br/>
                          <w:t>Dans le cadre du groupe de travail</w:t>
                        </w:r>
                        <w:proofErr w:type="gramStart"/>
                        <w:r>
                          <w:rPr>
                            <w:rFonts w:ascii="Arial" w:hAnsi="Arial" w:cs="Arial"/>
                            <w:sz w:val="21"/>
                            <w:szCs w:val="21"/>
                          </w:rPr>
                          <w:t xml:space="preserve"> «Collaborations</w:t>
                        </w:r>
                        <w:proofErr w:type="gramEnd"/>
                        <w:r>
                          <w:rPr>
                            <w:rFonts w:ascii="Arial" w:hAnsi="Arial" w:cs="Arial"/>
                            <w:sz w:val="21"/>
                            <w:szCs w:val="21"/>
                          </w:rPr>
                          <w:t xml:space="preserve"> avec les HEP », nous réalisons un </w:t>
                        </w:r>
                        <w:hyperlink r:id="rId7" w:history="1">
                          <w:r>
                            <w:rPr>
                              <w:rStyle w:val="Lienhypertexte"/>
                              <w:rFonts w:ascii="Arial" w:hAnsi="Arial" w:cs="Arial"/>
                              <w:color w:val="1ABC9C"/>
                              <w:sz w:val="21"/>
                              <w:szCs w:val="21"/>
                            </w:rPr>
                            <w:t>sondage</w:t>
                          </w:r>
                        </w:hyperlink>
                        <w:r>
                          <w:rPr>
                            <w:rFonts w:ascii="Arial" w:hAnsi="Arial" w:cs="Arial"/>
                            <w:sz w:val="21"/>
                            <w:szCs w:val="21"/>
                          </w:rPr>
                          <w:t xml:space="preserve"> afin d’avoir une vue d’ensemble des relations et collaborations entre les KAV et les HEP. Merci de prendre 10 minutes pour répondre aux questions. Le sondage doit être complété d’ici le </w:t>
                        </w:r>
                        <w:r>
                          <w:rPr>
                            <w:rStyle w:val="lev"/>
                            <w:rFonts w:ascii="Arial" w:hAnsi="Arial" w:cs="Arial"/>
                            <w:sz w:val="21"/>
                            <w:szCs w:val="21"/>
                          </w:rPr>
                          <w:t>31 janvier 2026</w:t>
                        </w:r>
                        <w:r>
                          <w:rPr>
                            <w:rFonts w:ascii="Arial" w:hAnsi="Arial" w:cs="Arial"/>
                            <w:sz w:val="21"/>
                            <w:szCs w:val="21"/>
                          </w:rPr>
                          <w:t>.</w:t>
                        </w:r>
                        <w:r>
                          <w:rPr>
                            <w:rFonts w:ascii="Arial" w:hAnsi="Arial" w:cs="Arial"/>
                            <w:sz w:val="21"/>
                            <w:szCs w:val="21"/>
                          </w:rPr>
                          <w:br/>
                        </w:r>
                        <w:r>
                          <w:rPr>
                            <w:rFonts w:ascii="Arial" w:hAnsi="Arial" w:cs="Arial"/>
                            <w:sz w:val="21"/>
                            <w:szCs w:val="21"/>
                          </w:rPr>
                          <w:br/>
                          <w:t xml:space="preserve">Nadine </w:t>
                        </w:r>
                        <w:proofErr w:type="spellStart"/>
                        <w:r>
                          <w:rPr>
                            <w:rFonts w:ascii="Arial" w:hAnsi="Arial" w:cs="Arial"/>
                            <w:sz w:val="21"/>
                            <w:szCs w:val="21"/>
                          </w:rPr>
                          <w:t>Basler</w:t>
                        </w:r>
                        <w:proofErr w:type="spellEnd"/>
                        <w:r>
                          <w:rPr>
                            <w:rFonts w:ascii="Arial" w:hAnsi="Arial" w:cs="Arial"/>
                            <w:sz w:val="21"/>
                            <w:szCs w:val="21"/>
                          </w:rPr>
                          <w:t xml:space="preserve">, Manila Monti, Tania Raboud, Bernadette </w:t>
                        </w:r>
                        <w:proofErr w:type="spellStart"/>
                        <w:r>
                          <w:rPr>
                            <w:rFonts w:ascii="Arial" w:hAnsi="Arial" w:cs="Arial"/>
                            <w:sz w:val="21"/>
                            <w:szCs w:val="21"/>
                          </w:rPr>
                          <w:t>Trommer</w:t>
                        </w:r>
                        <w:proofErr w:type="spellEnd"/>
                        <w:r>
                          <w:rPr>
                            <w:rFonts w:ascii="Arial" w:hAnsi="Arial" w:cs="Arial"/>
                            <w:sz w:val="21"/>
                            <w:szCs w:val="21"/>
                          </w:rPr>
                          <w:t xml:space="preserve">, Sylvia </w:t>
                        </w:r>
                        <w:proofErr w:type="spellStart"/>
                        <w:r>
                          <w:rPr>
                            <w:rFonts w:ascii="Arial" w:hAnsi="Arial" w:cs="Arial"/>
                            <w:sz w:val="21"/>
                            <w:szCs w:val="21"/>
                          </w:rPr>
                          <w:t>Nadig</w:t>
                        </w:r>
                        <w:proofErr w:type="spellEnd"/>
                        <w:r>
                          <w:rPr>
                            <w:rFonts w:ascii="Arial" w:hAnsi="Arial" w:cs="Arial"/>
                            <w:sz w:val="21"/>
                            <w:szCs w:val="21"/>
                          </w:rPr>
                          <w:br/>
                          <w:t xml:space="preserve">  </w:t>
                        </w:r>
                      </w:p>
                      <w:p w14:paraId="77984315" w14:textId="77777777" w:rsidR="00AE0459" w:rsidRDefault="00AE0459">
                        <w:pPr>
                          <w:jc w:val="center"/>
                          <w:rPr>
                            <w:rFonts w:ascii="Arial" w:hAnsi="Arial" w:cs="Arial"/>
                            <w:sz w:val="21"/>
                            <w:szCs w:val="21"/>
                          </w:rPr>
                        </w:pPr>
                        <w:r>
                          <w:rPr>
                            <w:rFonts w:ascii="Arial" w:hAnsi="Arial" w:cs="Arial"/>
                            <w:color w:val="1ABC9C"/>
                            <w:sz w:val="21"/>
                            <w:szCs w:val="21"/>
                          </w:rPr>
                          <w:t>*****</w:t>
                        </w:r>
                      </w:p>
                    </w:tc>
                  </w:tr>
                </w:tbl>
                <w:p w14:paraId="1FD4286D" w14:textId="77777777" w:rsidR="00AE0459" w:rsidRDefault="00AE0459">
                  <w:pPr>
                    <w:rPr>
                      <w:rFonts w:ascii="Times New Roman" w:eastAsia="Times New Roman" w:hAnsi="Times New Roman"/>
                      <w:sz w:val="20"/>
                      <w:szCs w:val="20"/>
                    </w:rPr>
                  </w:pPr>
                </w:p>
              </w:tc>
            </w:tr>
          </w:tbl>
          <w:p w14:paraId="3C01AC95" w14:textId="77777777" w:rsidR="00AE0459" w:rsidRDefault="00AE0459">
            <w:pPr>
              <w:rPr>
                <w:rFonts w:ascii="Times New Roman" w:eastAsia="Times New Roman" w:hAnsi="Times New Roman"/>
                <w:sz w:val="20"/>
                <w:szCs w:val="20"/>
              </w:rPr>
            </w:pPr>
          </w:p>
        </w:tc>
      </w:tr>
    </w:tbl>
    <w:p w14:paraId="1F93CD02" w14:textId="77777777" w:rsidR="00AB3A7F" w:rsidRDefault="00AB3A7F"/>
    <w:sectPr w:rsidR="00AB3A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3224"/>
    <w:multiLevelType w:val="multilevel"/>
    <w:tmpl w:val="B2FE3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D18A8"/>
    <w:multiLevelType w:val="multilevel"/>
    <w:tmpl w:val="543CE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5297935">
    <w:abstractNumId w:val="1"/>
    <w:lvlOverride w:ilvl="0"/>
    <w:lvlOverride w:ilvl="1"/>
    <w:lvlOverride w:ilvl="2"/>
    <w:lvlOverride w:ilvl="3"/>
    <w:lvlOverride w:ilvl="4"/>
    <w:lvlOverride w:ilvl="5"/>
    <w:lvlOverride w:ilvl="6"/>
    <w:lvlOverride w:ilvl="7"/>
    <w:lvlOverride w:ilvl="8"/>
  </w:num>
  <w:num w:numId="2" w16cid:durableId="57895062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59"/>
    <w:rsid w:val="00147DEC"/>
    <w:rsid w:val="00AB3A7F"/>
    <w:rsid w:val="00AE045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C437"/>
  <w15:chartTrackingRefBased/>
  <w15:docId w15:val="{D2DBD77A-5564-413C-9A65-3B8A4360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459"/>
    <w:pPr>
      <w:spacing w:after="0" w:line="240" w:lineRule="auto"/>
    </w:pPr>
    <w:rPr>
      <w:rFonts w:ascii="Aptos" w:hAnsi="Aptos" w:cs="Times New Roman"/>
      <w:kern w:val="0"/>
      <w:sz w:val="24"/>
      <w:szCs w:val="24"/>
      <w:lang w:eastAsia="fr-CH"/>
      <w14:ligatures w14:val="none"/>
    </w:rPr>
  </w:style>
  <w:style w:type="paragraph" w:styleId="Titre1">
    <w:name w:val="heading 1"/>
    <w:basedOn w:val="Normal"/>
    <w:next w:val="Normal"/>
    <w:link w:val="Titre1Car"/>
    <w:uiPriority w:val="9"/>
    <w:qFormat/>
    <w:rsid w:val="00AE0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E0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E04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E04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E04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E045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045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045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045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045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E045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E04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E04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E04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E04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04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04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0459"/>
    <w:rPr>
      <w:rFonts w:eastAsiaTheme="majorEastAsia" w:cstheme="majorBidi"/>
      <w:color w:val="272727" w:themeColor="text1" w:themeTint="D8"/>
    </w:rPr>
  </w:style>
  <w:style w:type="paragraph" w:styleId="Titre">
    <w:name w:val="Title"/>
    <w:basedOn w:val="Normal"/>
    <w:next w:val="Normal"/>
    <w:link w:val="TitreCar"/>
    <w:uiPriority w:val="10"/>
    <w:qFormat/>
    <w:rsid w:val="00AE045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04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045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04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0459"/>
    <w:pPr>
      <w:spacing w:before="160"/>
      <w:jc w:val="center"/>
    </w:pPr>
    <w:rPr>
      <w:i/>
      <w:iCs/>
      <w:color w:val="404040" w:themeColor="text1" w:themeTint="BF"/>
    </w:rPr>
  </w:style>
  <w:style w:type="character" w:customStyle="1" w:styleId="CitationCar">
    <w:name w:val="Citation Car"/>
    <w:basedOn w:val="Policepardfaut"/>
    <w:link w:val="Citation"/>
    <w:uiPriority w:val="29"/>
    <w:rsid w:val="00AE0459"/>
    <w:rPr>
      <w:i/>
      <w:iCs/>
      <w:color w:val="404040" w:themeColor="text1" w:themeTint="BF"/>
    </w:rPr>
  </w:style>
  <w:style w:type="paragraph" w:styleId="Paragraphedeliste">
    <w:name w:val="List Paragraph"/>
    <w:basedOn w:val="Normal"/>
    <w:uiPriority w:val="34"/>
    <w:qFormat/>
    <w:rsid w:val="00AE0459"/>
    <w:pPr>
      <w:ind w:left="720"/>
      <w:contextualSpacing/>
    </w:pPr>
  </w:style>
  <w:style w:type="character" w:styleId="Accentuationintense">
    <w:name w:val="Intense Emphasis"/>
    <w:basedOn w:val="Policepardfaut"/>
    <w:uiPriority w:val="21"/>
    <w:qFormat/>
    <w:rsid w:val="00AE0459"/>
    <w:rPr>
      <w:i/>
      <w:iCs/>
      <w:color w:val="0F4761" w:themeColor="accent1" w:themeShade="BF"/>
    </w:rPr>
  </w:style>
  <w:style w:type="paragraph" w:styleId="Citationintense">
    <w:name w:val="Intense Quote"/>
    <w:basedOn w:val="Normal"/>
    <w:next w:val="Normal"/>
    <w:link w:val="CitationintenseCar"/>
    <w:uiPriority w:val="30"/>
    <w:qFormat/>
    <w:rsid w:val="00AE0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E0459"/>
    <w:rPr>
      <w:i/>
      <w:iCs/>
      <w:color w:val="0F4761" w:themeColor="accent1" w:themeShade="BF"/>
    </w:rPr>
  </w:style>
  <w:style w:type="character" w:styleId="Rfrenceintense">
    <w:name w:val="Intense Reference"/>
    <w:basedOn w:val="Policepardfaut"/>
    <w:uiPriority w:val="32"/>
    <w:qFormat/>
    <w:rsid w:val="00AE0459"/>
    <w:rPr>
      <w:b/>
      <w:bCs/>
      <w:smallCaps/>
      <w:color w:val="0F4761" w:themeColor="accent1" w:themeShade="BF"/>
      <w:spacing w:val="5"/>
    </w:rPr>
  </w:style>
  <w:style w:type="character" w:styleId="Lienhypertexte">
    <w:name w:val="Hyperlink"/>
    <w:basedOn w:val="Policepardfaut"/>
    <w:uiPriority w:val="99"/>
    <w:semiHidden/>
    <w:unhideWhenUsed/>
    <w:rsid w:val="00AE0459"/>
    <w:rPr>
      <w:color w:val="0000FF"/>
      <w:u w:val="single"/>
    </w:rPr>
  </w:style>
  <w:style w:type="paragraph" w:customStyle="1" w:styleId="contentroot1">
    <w:name w:val="contentroot1"/>
    <w:basedOn w:val="Normal"/>
    <w:rsid w:val="00AE0459"/>
    <w:pPr>
      <w:spacing w:before="100" w:beforeAutospacing="1" w:after="100" w:afterAutospacing="1"/>
    </w:pPr>
  </w:style>
  <w:style w:type="character" w:styleId="lev">
    <w:name w:val="Strong"/>
    <w:basedOn w:val="Policepardfaut"/>
    <w:uiPriority w:val="22"/>
    <w:qFormat/>
    <w:rsid w:val="00AE0459"/>
    <w:rPr>
      <w:b/>
      <w:bCs/>
    </w:rPr>
  </w:style>
  <w:style w:type="character" w:styleId="Accentuation">
    <w:name w:val="Emphasis"/>
    <w:basedOn w:val="Policepardfaut"/>
    <w:uiPriority w:val="20"/>
    <w:qFormat/>
    <w:rsid w:val="00AE04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jotform.com/build/2531533272743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3601</Characters>
  <Application>Microsoft Office Word</Application>
  <DocSecurity>0</DocSecurity>
  <Lines>30</Lines>
  <Paragraphs>8</Paragraphs>
  <ScaleCrop>false</ScaleCrop>
  <Company>Etat du Valais</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SCHNEIDER</dc:creator>
  <cp:keywords/>
  <dc:description/>
  <cp:lastModifiedBy>Sandra SCHNEIDER</cp:lastModifiedBy>
  <cp:revision>1</cp:revision>
  <dcterms:created xsi:type="dcterms:W3CDTF">2026-01-12T11:12:00Z</dcterms:created>
  <dcterms:modified xsi:type="dcterms:W3CDTF">2026-01-12T11:13:00Z</dcterms:modified>
</cp:coreProperties>
</file>