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53" w:rsidRPr="00A06958" w:rsidRDefault="00213753" w:rsidP="00213753">
      <w:pPr>
        <w:keepNext/>
        <w:tabs>
          <w:tab w:val="num" w:pos="432"/>
        </w:tabs>
        <w:overflowPunct w:val="0"/>
        <w:autoSpaceDE w:val="0"/>
        <w:autoSpaceDN w:val="0"/>
        <w:adjustRightInd w:val="0"/>
        <w:spacing w:before="480" w:after="120" w:line="300" w:lineRule="exact"/>
        <w:jc w:val="both"/>
        <w:textAlignment w:val="baseline"/>
        <w:outlineLvl w:val="0"/>
        <w:rPr>
          <w:rFonts w:ascii="Arial" w:hAnsi="Arial"/>
          <w:b/>
          <w:kern w:val="28"/>
          <w:sz w:val="29"/>
          <w:szCs w:val="29"/>
          <w:lang w:val="fr-CH" w:eastAsia="en-US"/>
        </w:rPr>
      </w:pPr>
      <w:r w:rsidRPr="00A06958">
        <w:rPr>
          <w:rFonts w:ascii="Arial" w:hAnsi="Arial"/>
          <w:b/>
          <w:kern w:val="28"/>
          <w:sz w:val="29"/>
          <w:szCs w:val="29"/>
          <w:lang w:val="fr-CH" w:eastAsia="en-US"/>
        </w:rPr>
        <w:t>Etablissement d’un dossier de demande</w:t>
      </w:r>
    </w:p>
    <w:p w:rsidR="00213753" w:rsidRPr="00F033F2" w:rsidRDefault="00213753" w:rsidP="00213753">
      <w:pPr>
        <w:spacing w:before="120" w:after="120"/>
        <w:jc w:val="both"/>
        <w:rPr>
          <w:rFonts w:ascii="Arial" w:hAnsi="Arial" w:cs="Arial"/>
          <w:sz w:val="22"/>
          <w:szCs w:val="22"/>
          <w:highlight w:val="yellow"/>
        </w:rPr>
      </w:pPr>
      <w:r w:rsidRPr="00F033F2">
        <w:rPr>
          <w:rFonts w:ascii="Arial" w:hAnsi="Arial" w:cs="Arial"/>
          <w:sz w:val="22"/>
          <w:szCs w:val="22"/>
        </w:rPr>
        <w:t xml:space="preserve">Ce chapitre définit la forme et le contenu qu’un dossier de demande d’autorisation de mise en service d’équipements lourds déposé au SSP doit avoir pour permettre son traitement. </w:t>
      </w:r>
      <w:r>
        <w:rPr>
          <w:rFonts w:ascii="Arial" w:hAnsi="Arial" w:cs="Arial"/>
          <w:sz w:val="22"/>
          <w:szCs w:val="22"/>
        </w:rPr>
        <w:t>Il</w:t>
      </w:r>
      <w:r w:rsidRPr="00F033F2">
        <w:rPr>
          <w:rFonts w:ascii="Arial" w:hAnsi="Arial" w:cs="Arial"/>
          <w:sz w:val="22"/>
          <w:szCs w:val="22"/>
        </w:rPr>
        <w:t xml:space="preserve"> s’applique à tous les exploitants qui désirent déposer une demande de mise en service d’un nouvel équipement lourd soumis à régulation.</w:t>
      </w:r>
    </w:p>
    <w:p w:rsidR="00213753" w:rsidRPr="00F033F2" w:rsidRDefault="00213753" w:rsidP="00213753">
      <w:pPr>
        <w:spacing w:before="240" w:after="120"/>
        <w:jc w:val="both"/>
        <w:rPr>
          <w:rFonts w:ascii="Arial" w:hAnsi="Arial" w:cs="Arial"/>
          <w:b/>
          <w:sz w:val="24"/>
          <w:szCs w:val="24"/>
        </w:rPr>
      </w:pPr>
      <w:r w:rsidRPr="00F033F2">
        <w:rPr>
          <w:rFonts w:ascii="Arial" w:hAnsi="Arial" w:cs="Arial"/>
          <w:b/>
          <w:sz w:val="24"/>
          <w:szCs w:val="24"/>
          <w:lang w:val="fr-CH" w:eastAsia="fr-CH"/>
        </w:rPr>
        <w:t>Contenu et forme du dossier de demande</w:t>
      </w:r>
    </w:p>
    <w:p w:rsidR="00213753" w:rsidRPr="00F033F2" w:rsidRDefault="00213753" w:rsidP="0021375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33F2">
        <w:rPr>
          <w:rFonts w:ascii="Arial" w:hAnsi="Arial" w:cs="Arial"/>
          <w:sz w:val="22"/>
          <w:szCs w:val="22"/>
        </w:rPr>
        <w:t>Le formulaire « Demande d’autorisation d’équipement lourd » doit dûment être rempli par le requérant. Ce formulaire contient notamment les points suivants :</w:t>
      </w:r>
    </w:p>
    <w:p w:rsidR="00213753" w:rsidRPr="00F033F2" w:rsidRDefault="00213753" w:rsidP="00213753">
      <w:pPr>
        <w:pStyle w:val="Normal2"/>
        <w:numPr>
          <w:ilvl w:val="0"/>
          <w:numId w:val="2"/>
        </w:numPr>
        <w:spacing w:before="120" w:after="120"/>
        <w:ind w:left="425" w:hanging="357"/>
        <w:jc w:val="both"/>
        <w:rPr>
          <w:sz w:val="22"/>
          <w:szCs w:val="22"/>
        </w:rPr>
      </w:pPr>
      <w:r w:rsidRPr="00F033F2">
        <w:rPr>
          <w:sz w:val="22"/>
          <w:szCs w:val="22"/>
        </w:rPr>
        <w:t>Objet de la demande et contexte général</w:t>
      </w:r>
    </w:p>
    <w:p w:rsidR="00213753" w:rsidRPr="00F033F2" w:rsidRDefault="00213753" w:rsidP="00213753">
      <w:pPr>
        <w:pStyle w:val="Normal2"/>
        <w:numPr>
          <w:ilvl w:val="0"/>
          <w:numId w:val="2"/>
        </w:numPr>
        <w:spacing w:before="120" w:after="120"/>
        <w:ind w:left="425" w:hanging="357"/>
        <w:jc w:val="both"/>
        <w:rPr>
          <w:sz w:val="22"/>
          <w:szCs w:val="22"/>
        </w:rPr>
      </w:pPr>
      <w:r w:rsidRPr="00F033F2">
        <w:rPr>
          <w:sz w:val="22"/>
          <w:szCs w:val="22"/>
        </w:rPr>
        <w:t>Développement et argumentaire pour chacun des critères cumulatifs mentionnés dans la loi et (décrits ci-dessous)</w:t>
      </w:r>
    </w:p>
    <w:tbl>
      <w:tblPr>
        <w:tblStyle w:val="Grilledutableau"/>
        <w:tblW w:w="8676" w:type="dxa"/>
        <w:tblInd w:w="108" w:type="dxa"/>
        <w:tblLook w:val="04A0" w:firstRow="1" w:lastRow="0" w:firstColumn="1" w:lastColumn="0" w:noHBand="0" w:noVBand="1"/>
      </w:tblPr>
      <w:tblGrid>
        <w:gridCol w:w="3686"/>
        <w:gridCol w:w="4990"/>
      </w:tblGrid>
      <w:tr w:rsidR="00213753" w:rsidRPr="0021205A" w:rsidTr="008477C8">
        <w:trPr>
          <w:tblHeader/>
        </w:trPr>
        <w:tc>
          <w:tcPr>
            <w:tcW w:w="3686" w:type="dxa"/>
          </w:tcPr>
          <w:p w:rsidR="00213753" w:rsidRPr="00F033F2" w:rsidRDefault="00213753" w:rsidP="008477C8">
            <w:pPr>
              <w:pStyle w:val="Normal2"/>
              <w:spacing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033F2">
              <w:rPr>
                <w:rFonts w:ascii="Arial Narrow" w:hAnsi="Arial Narrow"/>
                <w:b/>
                <w:sz w:val="22"/>
                <w:szCs w:val="22"/>
              </w:rPr>
              <w:t>Critères cumulatifs</w:t>
            </w:r>
          </w:p>
        </w:tc>
        <w:tc>
          <w:tcPr>
            <w:tcW w:w="4990" w:type="dxa"/>
          </w:tcPr>
          <w:p w:rsidR="00213753" w:rsidRPr="00F033F2" w:rsidRDefault="00213753" w:rsidP="008477C8">
            <w:pPr>
              <w:pStyle w:val="Normal2"/>
              <w:spacing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033F2">
              <w:rPr>
                <w:rFonts w:ascii="Arial Narrow" w:hAnsi="Arial Narrow"/>
                <w:b/>
                <w:sz w:val="22"/>
                <w:szCs w:val="22"/>
              </w:rPr>
              <w:t>Eléments à traiter</w:t>
            </w:r>
          </w:p>
        </w:tc>
      </w:tr>
      <w:tr w:rsidR="00213753" w:rsidRPr="0021205A" w:rsidTr="008477C8">
        <w:tc>
          <w:tcPr>
            <w:tcW w:w="3686" w:type="dxa"/>
          </w:tcPr>
          <w:p w:rsidR="00213753" w:rsidRPr="00F033F2" w:rsidRDefault="00213753" w:rsidP="00213753">
            <w:pPr>
              <w:pStyle w:val="Normal2"/>
              <w:numPr>
                <w:ilvl w:val="0"/>
                <w:numId w:val="3"/>
              </w:numPr>
              <w:spacing w:after="60"/>
              <w:ind w:left="283" w:hanging="283"/>
              <w:jc w:val="both"/>
              <w:rPr>
                <w:rFonts w:ascii="Arial Narrow" w:hAnsi="Arial Narrow"/>
              </w:rPr>
            </w:pPr>
            <w:r w:rsidRPr="00F033F2">
              <w:rPr>
                <w:rFonts w:ascii="Arial Narrow" w:hAnsi="Arial Narrow"/>
              </w:rPr>
              <w:t>la mise en service de l’équipement lourd répond à un besoin de santé publique avéré</w:t>
            </w:r>
          </w:p>
        </w:tc>
        <w:tc>
          <w:tcPr>
            <w:tcW w:w="4990" w:type="dxa"/>
          </w:tcPr>
          <w:p w:rsidR="00213753" w:rsidRPr="00F033F2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F033F2">
              <w:rPr>
                <w:rFonts w:ascii="Arial Narrow" w:hAnsi="Arial Narrow"/>
              </w:rPr>
              <w:t>densité</w:t>
            </w:r>
            <w:proofErr w:type="gramEnd"/>
            <w:r w:rsidRPr="00F033F2">
              <w:rPr>
                <w:rFonts w:ascii="Arial Narrow" w:hAnsi="Arial Narrow"/>
              </w:rPr>
              <w:t xml:space="preserve"> actuelle et future de l’équipement dans le secteur d’implantation (ville, district, région) et mise en évidence des besoins non couverts</w:t>
            </w:r>
          </w:p>
          <w:p w:rsidR="00213753" w:rsidRPr="00F033F2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F033F2">
              <w:rPr>
                <w:rFonts w:ascii="Arial Narrow" w:hAnsi="Arial Narrow"/>
              </w:rPr>
              <w:t>fourniture</w:t>
            </w:r>
            <w:proofErr w:type="gramEnd"/>
            <w:r w:rsidRPr="00F033F2">
              <w:rPr>
                <w:rFonts w:ascii="Arial Narrow" w:hAnsi="Arial Narrow"/>
              </w:rPr>
              <w:t xml:space="preserve"> de prestations particulières non disponibles</w:t>
            </w:r>
          </w:p>
          <w:p w:rsidR="00213753" w:rsidRPr="00F033F2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F033F2">
              <w:rPr>
                <w:rFonts w:ascii="Arial Narrow" w:hAnsi="Arial Narrow"/>
              </w:rPr>
              <w:t>gain</w:t>
            </w:r>
            <w:proofErr w:type="gramEnd"/>
            <w:r w:rsidRPr="00F033F2">
              <w:rPr>
                <w:rFonts w:ascii="Arial Narrow" w:hAnsi="Arial Narrow"/>
              </w:rPr>
              <w:t>/amélioration supplémentaire pour les patients en regard de la situation existante</w:t>
            </w:r>
          </w:p>
          <w:p w:rsidR="00213753" w:rsidRPr="00F033F2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F033F2">
              <w:rPr>
                <w:rFonts w:ascii="Arial Narrow" w:hAnsi="Arial Narrow"/>
              </w:rPr>
              <w:t>amélioration</w:t>
            </w:r>
            <w:proofErr w:type="gramEnd"/>
            <w:r w:rsidRPr="00F033F2">
              <w:rPr>
                <w:rFonts w:ascii="Arial Narrow" w:hAnsi="Arial Narrow"/>
              </w:rPr>
              <w:t xml:space="preserve"> du dispositif sanitaire régional voire supra régional</w:t>
            </w:r>
          </w:p>
          <w:p w:rsidR="00213753" w:rsidRPr="00F033F2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r w:rsidRPr="00F033F2">
              <w:rPr>
                <w:rFonts w:ascii="Arial Narrow" w:hAnsi="Arial Narrow"/>
              </w:rPr>
              <w:t>nombres annuels de prestations prévus selon leur type</w:t>
            </w:r>
          </w:p>
        </w:tc>
      </w:tr>
      <w:tr w:rsidR="00213753" w:rsidRPr="0021205A" w:rsidTr="008477C8">
        <w:tc>
          <w:tcPr>
            <w:tcW w:w="3686" w:type="dxa"/>
          </w:tcPr>
          <w:p w:rsidR="00213753" w:rsidRPr="00B90A1D" w:rsidRDefault="00213753" w:rsidP="00213753">
            <w:pPr>
              <w:pStyle w:val="Normal2"/>
              <w:numPr>
                <w:ilvl w:val="0"/>
                <w:numId w:val="3"/>
              </w:numPr>
              <w:spacing w:after="60"/>
              <w:ind w:left="283" w:hanging="283"/>
              <w:jc w:val="both"/>
              <w:rPr>
                <w:rFonts w:ascii="Arial Narrow" w:hAnsi="Arial Narrow"/>
              </w:rPr>
            </w:pPr>
            <w:r w:rsidRPr="00B90A1D">
              <w:rPr>
                <w:rFonts w:ascii="Arial Narrow" w:hAnsi="Arial Narrow"/>
              </w:rPr>
              <w:t>les coûts induits à charge de l’assurance obligatoire des soins, des pouvoirs publics ou des patients sont proportionnés par rapport au bénéfice sanitaire attendu </w:t>
            </w:r>
          </w:p>
        </w:tc>
        <w:tc>
          <w:tcPr>
            <w:tcW w:w="4990" w:type="dxa"/>
          </w:tcPr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B90A1D">
              <w:rPr>
                <w:rFonts w:ascii="Arial Narrow" w:hAnsi="Arial Narrow"/>
              </w:rPr>
              <w:t>estimation</w:t>
            </w:r>
            <w:proofErr w:type="gramEnd"/>
            <w:r w:rsidRPr="00B90A1D">
              <w:rPr>
                <w:rFonts w:ascii="Arial Narrow" w:hAnsi="Arial Narrow"/>
              </w:rPr>
              <w:t xml:space="preserve"> des coûts à charge de l’assurance, des pouvoirs publics et des patients</w:t>
            </w:r>
          </w:p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B90A1D">
              <w:rPr>
                <w:rFonts w:ascii="Arial Narrow" w:hAnsi="Arial Narrow"/>
              </w:rPr>
              <w:t>énumération</w:t>
            </w:r>
            <w:proofErr w:type="gramEnd"/>
            <w:r w:rsidRPr="00B90A1D">
              <w:rPr>
                <w:rFonts w:ascii="Arial Narrow" w:hAnsi="Arial Narrow"/>
              </w:rPr>
              <w:t xml:space="preserve"> des bénéfices pour les patients voire le dispositif sanitaire</w:t>
            </w:r>
          </w:p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B90A1D">
              <w:rPr>
                <w:rFonts w:ascii="Arial Narrow" w:hAnsi="Arial Narrow"/>
              </w:rPr>
              <w:t>rapport</w:t>
            </w:r>
            <w:proofErr w:type="gramEnd"/>
            <w:r w:rsidRPr="00B90A1D">
              <w:rPr>
                <w:rFonts w:ascii="Arial Narrow" w:hAnsi="Arial Narrow"/>
              </w:rPr>
              <w:t xml:space="preserve"> coûts/bénéfices, maîtrise des coûts voire potentiel d’économies</w:t>
            </w:r>
          </w:p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B90A1D">
              <w:rPr>
                <w:rFonts w:ascii="Arial Narrow" w:hAnsi="Arial Narrow"/>
              </w:rPr>
              <w:t>évaluation</w:t>
            </w:r>
            <w:proofErr w:type="gramEnd"/>
            <w:r w:rsidRPr="00B90A1D">
              <w:rPr>
                <w:rFonts w:ascii="Arial Narrow" w:hAnsi="Arial Narrow"/>
              </w:rPr>
              <w:t xml:space="preserve"> de la rentabilité de l’équipement</w:t>
            </w:r>
          </w:p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B90A1D">
              <w:rPr>
                <w:rFonts w:ascii="Arial Narrow" w:hAnsi="Arial Narrow"/>
              </w:rPr>
              <w:t>durabilité</w:t>
            </w:r>
            <w:proofErr w:type="gramEnd"/>
            <w:r w:rsidRPr="00B90A1D">
              <w:rPr>
                <w:rFonts w:ascii="Arial Narrow" w:hAnsi="Arial Narrow"/>
              </w:rPr>
              <w:t xml:space="preserve"> de l’équipement avec éventuelle périodicité des mises à jour</w:t>
            </w:r>
          </w:p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r w:rsidRPr="00B90A1D">
              <w:rPr>
                <w:rFonts w:ascii="Arial Narrow" w:hAnsi="Arial Narrow"/>
              </w:rPr>
              <w:t>plan de financement des investissements et de l’exploitation</w:t>
            </w:r>
          </w:p>
        </w:tc>
      </w:tr>
      <w:tr w:rsidR="00213753" w:rsidRPr="0021205A" w:rsidTr="008477C8">
        <w:tc>
          <w:tcPr>
            <w:tcW w:w="3686" w:type="dxa"/>
          </w:tcPr>
          <w:p w:rsidR="00213753" w:rsidRPr="00B90A1D" w:rsidRDefault="00213753" w:rsidP="00213753">
            <w:pPr>
              <w:pStyle w:val="Normal2"/>
              <w:numPr>
                <w:ilvl w:val="0"/>
                <w:numId w:val="3"/>
              </w:numPr>
              <w:spacing w:after="60"/>
              <w:ind w:left="283" w:hanging="283"/>
              <w:jc w:val="both"/>
              <w:rPr>
                <w:rFonts w:ascii="Arial Narrow" w:hAnsi="Arial Narrow"/>
              </w:rPr>
            </w:pPr>
            <w:r w:rsidRPr="00B90A1D">
              <w:rPr>
                <w:rFonts w:ascii="Arial Narrow" w:hAnsi="Arial Narrow"/>
              </w:rPr>
              <w:t>le requérant dispose du personnel qualifié requis</w:t>
            </w:r>
          </w:p>
        </w:tc>
        <w:tc>
          <w:tcPr>
            <w:tcW w:w="4990" w:type="dxa"/>
          </w:tcPr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B90A1D">
              <w:rPr>
                <w:rFonts w:ascii="Arial Narrow" w:hAnsi="Arial Narrow"/>
              </w:rPr>
              <w:t>taux</w:t>
            </w:r>
            <w:proofErr w:type="gramEnd"/>
            <w:r w:rsidRPr="00B90A1D">
              <w:rPr>
                <w:rFonts w:ascii="Arial Narrow" w:hAnsi="Arial Narrow"/>
              </w:rPr>
              <w:t xml:space="preserve"> d’encadrement par type de personnel garanti durant les plages d’utilisation</w:t>
            </w:r>
          </w:p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B90A1D">
              <w:rPr>
                <w:rFonts w:ascii="Arial Narrow" w:hAnsi="Arial Narrow"/>
              </w:rPr>
              <w:t>formation</w:t>
            </w:r>
            <w:proofErr w:type="gramEnd"/>
            <w:r w:rsidRPr="00B90A1D">
              <w:rPr>
                <w:rFonts w:ascii="Arial Narrow" w:hAnsi="Arial Narrow"/>
              </w:rPr>
              <w:t xml:space="preserve"> acquise et continue du personnel</w:t>
            </w:r>
          </w:p>
          <w:p w:rsidR="00213753" w:rsidRPr="00B90A1D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r w:rsidRPr="00B90A1D">
              <w:rPr>
                <w:rFonts w:ascii="Arial Narrow" w:hAnsi="Arial Narrow"/>
              </w:rPr>
              <w:t>éventuelle utilisation de personnel supplémentaire</w:t>
            </w:r>
          </w:p>
        </w:tc>
      </w:tr>
      <w:tr w:rsidR="00213753" w:rsidRPr="0021205A" w:rsidTr="008477C8">
        <w:tc>
          <w:tcPr>
            <w:tcW w:w="3686" w:type="dxa"/>
          </w:tcPr>
          <w:p w:rsidR="00213753" w:rsidRPr="003B1B53" w:rsidRDefault="00213753" w:rsidP="008477C8">
            <w:pPr>
              <w:pStyle w:val="Normal2"/>
              <w:spacing w:after="60"/>
              <w:ind w:left="283" w:hanging="283"/>
              <w:jc w:val="both"/>
              <w:rPr>
                <w:rFonts w:ascii="Arial Narrow" w:hAnsi="Arial Narrow"/>
              </w:rPr>
            </w:pPr>
            <w:r w:rsidRPr="003B1B53">
              <w:rPr>
                <w:rFonts w:ascii="Arial Narrow" w:hAnsi="Arial Narrow"/>
              </w:rPr>
              <w:tab/>
              <w:t>Eventuelles mises en place de conventions de collaboration entre exploitants et/ou de plages horaires particulières de disponibilité de l’équipement</w:t>
            </w:r>
          </w:p>
        </w:tc>
        <w:tc>
          <w:tcPr>
            <w:tcW w:w="4990" w:type="dxa"/>
          </w:tcPr>
          <w:p w:rsidR="00213753" w:rsidRPr="003B1B53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3B1B53">
              <w:rPr>
                <w:rFonts w:ascii="Arial Narrow" w:hAnsi="Arial Narrow"/>
              </w:rPr>
              <w:t>collaborations</w:t>
            </w:r>
            <w:proofErr w:type="gramEnd"/>
            <w:r w:rsidRPr="003B1B53">
              <w:rPr>
                <w:rFonts w:ascii="Arial Narrow" w:hAnsi="Arial Narrow"/>
              </w:rPr>
              <w:t xml:space="preserve"> envisagées avec d’autres médecins, institutions, réseaux de soins, etc.</w:t>
            </w:r>
          </w:p>
          <w:p w:rsidR="00213753" w:rsidRPr="003B1B53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proofErr w:type="gramStart"/>
            <w:r w:rsidRPr="003B1B53">
              <w:rPr>
                <w:rFonts w:ascii="Arial Narrow" w:hAnsi="Arial Narrow"/>
              </w:rPr>
              <w:t>plages</w:t>
            </w:r>
            <w:proofErr w:type="gramEnd"/>
            <w:r w:rsidRPr="003B1B53">
              <w:rPr>
                <w:rFonts w:ascii="Arial Narrow" w:hAnsi="Arial Narrow"/>
              </w:rPr>
              <w:t xml:space="preserve"> horaires particulières répondant à un besoin spécifique</w:t>
            </w:r>
          </w:p>
          <w:p w:rsidR="00213753" w:rsidRPr="003B1B53" w:rsidRDefault="00213753" w:rsidP="00213753">
            <w:pPr>
              <w:pStyle w:val="Normal2"/>
              <w:numPr>
                <w:ilvl w:val="0"/>
                <w:numId w:val="4"/>
              </w:numPr>
              <w:spacing w:after="60"/>
              <w:ind w:left="34" w:hanging="142"/>
              <w:jc w:val="both"/>
              <w:rPr>
                <w:rFonts w:ascii="Arial Narrow" w:hAnsi="Arial Narrow"/>
              </w:rPr>
            </w:pPr>
            <w:r w:rsidRPr="003B1B53">
              <w:rPr>
                <w:rFonts w:ascii="Arial Narrow" w:hAnsi="Arial Narrow"/>
              </w:rPr>
              <w:t>satisfaction de normes de qualité</w:t>
            </w:r>
          </w:p>
        </w:tc>
      </w:tr>
    </w:tbl>
    <w:p w:rsidR="00213753" w:rsidRPr="0021205A" w:rsidRDefault="00213753" w:rsidP="00213753">
      <w:pPr>
        <w:pStyle w:val="Normal2"/>
        <w:spacing w:after="100"/>
        <w:ind w:left="425"/>
        <w:jc w:val="both"/>
        <w:rPr>
          <w:sz w:val="22"/>
          <w:highlight w:val="yellow"/>
        </w:rPr>
      </w:pPr>
    </w:p>
    <w:p w:rsidR="00213753" w:rsidRPr="00AF1E58" w:rsidRDefault="00213753" w:rsidP="00213753">
      <w:pPr>
        <w:pStyle w:val="Normal2"/>
        <w:numPr>
          <w:ilvl w:val="0"/>
          <w:numId w:val="2"/>
        </w:numPr>
        <w:spacing w:after="200"/>
        <w:ind w:left="425" w:hanging="357"/>
        <w:jc w:val="both"/>
        <w:rPr>
          <w:sz w:val="22"/>
        </w:rPr>
      </w:pPr>
      <w:r w:rsidRPr="00B83A15">
        <w:rPr>
          <w:sz w:val="22"/>
        </w:rPr>
        <w:t xml:space="preserve">Projet de cahier des charges pour l’exploitation de l’équipement indiquant </w:t>
      </w:r>
      <w:r w:rsidRPr="00AF1E58">
        <w:rPr>
          <w:sz w:val="22"/>
        </w:rPr>
        <w:t>notamment : le champ des prestations envisagées, les plages horaires d’utilisation, les partenaires médicaux voire soignants, etc.</w:t>
      </w:r>
    </w:p>
    <w:p w:rsidR="00213753" w:rsidRPr="00AF1E58" w:rsidRDefault="00213753" w:rsidP="00213753">
      <w:pPr>
        <w:pStyle w:val="Normal2"/>
        <w:numPr>
          <w:ilvl w:val="0"/>
          <w:numId w:val="2"/>
        </w:numPr>
        <w:spacing w:after="200"/>
        <w:ind w:left="425" w:hanging="357"/>
        <w:jc w:val="both"/>
        <w:rPr>
          <w:sz w:val="22"/>
        </w:rPr>
      </w:pPr>
      <w:r w:rsidRPr="00AF1E58">
        <w:rPr>
          <w:sz w:val="22"/>
        </w:rPr>
        <w:t>Projet de planning de l’achat à la mise en service de l’équipement (appare</w:t>
      </w:r>
      <w:r>
        <w:rPr>
          <w:sz w:val="22"/>
        </w:rPr>
        <w:t>ils, locaux, personnel, autres)</w:t>
      </w:r>
    </w:p>
    <w:p w:rsidR="00831C35" w:rsidRPr="00213753" w:rsidRDefault="00213753" w:rsidP="00213753">
      <w:pPr>
        <w:pStyle w:val="Normal2"/>
        <w:numPr>
          <w:ilvl w:val="0"/>
          <w:numId w:val="2"/>
        </w:numPr>
        <w:spacing w:after="200"/>
        <w:ind w:left="425" w:hanging="357"/>
        <w:jc w:val="both"/>
        <w:rPr>
          <w:sz w:val="22"/>
        </w:rPr>
      </w:pPr>
      <w:r w:rsidRPr="00AF1E58">
        <w:rPr>
          <w:sz w:val="22"/>
        </w:rPr>
        <w:t>Eventuels autres arguments</w:t>
      </w:r>
      <w:bookmarkStart w:id="0" w:name="_GoBack"/>
      <w:bookmarkEnd w:id="0"/>
    </w:p>
    <w:sectPr w:rsidR="00831C35" w:rsidRPr="0021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F42"/>
    <w:multiLevelType w:val="hybridMultilevel"/>
    <w:tmpl w:val="AFBC4DEC"/>
    <w:lvl w:ilvl="0" w:tplc="2376EB6A">
      <w:start w:val="1"/>
      <w:numFmt w:val="bullet"/>
      <w:lvlText w:val="­"/>
      <w:lvlJc w:val="left"/>
      <w:pPr>
        <w:ind w:left="612" w:hanging="360"/>
      </w:pPr>
      <w:rPr>
        <w:rFonts w:ascii="Courier New" w:hAnsi="Courier New" w:hint="default"/>
      </w:rPr>
    </w:lvl>
    <w:lvl w:ilvl="1" w:tplc="100C0019" w:tentative="1">
      <w:start w:val="1"/>
      <w:numFmt w:val="lowerLetter"/>
      <w:lvlText w:val="%2."/>
      <w:lvlJc w:val="left"/>
      <w:pPr>
        <w:ind w:left="1332" w:hanging="360"/>
      </w:pPr>
    </w:lvl>
    <w:lvl w:ilvl="2" w:tplc="100C001B" w:tentative="1">
      <w:start w:val="1"/>
      <w:numFmt w:val="lowerRoman"/>
      <w:lvlText w:val="%3."/>
      <w:lvlJc w:val="right"/>
      <w:pPr>
        <w:ind w:left="2052" w:hanging="180"/>
      </w:pPr>
    </w:lvl>
    <w:lvl w:ilvl="3" w:tplc="100C000F" w:tentative="1">
      <w:start w:val="1"/>
      <w:numFmt w:val="decimal"/>
      <w:lvlText w:val="%4."/>
      <w:lvlJc w:val="left"/>
      <w:pPr>
        <w:ind w:left="2772" w:hanging="360"/>
      </w:pPr>
    </w:lvl>
    <w:lvl w:ilvl="4" w:tplc="100C0019" w:tentative="1">
      <w:start w:val="1"/>
      <w:numFmt w:val="lowerLetter"/>
      <w:lvlText w:val="%5."/>
      <w:lvlJc w:val="left"/>
      <w:pPr>
        <w:ind w:left="3492" w:hanging="360"/>
      </w:pPr>
    </w:lvl>
    <w:lvl w:ilvl="5" w:tplc="100C001B" w:tentative="1">
      <w:start w:val="1"/>
      <w:numFmt w:val="lowerRoman"/>
      <w:lvlText w:val="%6."/>
      <w:lvlJc w:val="right"/>
      <w:pPr>
        <w:ind w:left="4212" w:hanging="180"/>
      </w:pPr>
    </w:lvl>
    <w:lvl w:ilvl="6" w:tplc="100C000F" w:tentative="1">
      <w:start w:val="1"/>
      <w:numFmt w:val="decimal"/>
      <w:lvlText w:val="%7."/>
      <w:lvlJc w:val="left"/>
      <w:pPr>
        <w:ind w:left="4932" w:hanging="360"/>
      </w:pPr>
    </w:lvl>
    <w:lvl w:ilvl="7" w:tplc="100C0019" w:tentative="1">
      <w:start w:val="1"/>
      <w:numFmt w:val="lowerLetter"/>
      <w:lvlText w:val="%8."/>
      <w:lvlJc w:val="left"/>
      <w:pPr>
        <w:ind w:left="5652" w:hanging="360"/>
      </w:pPr>
    </w:lvl>
    <w:lvl w:ilvl="8" w:tplc="10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5B8D7F09"/>
    <w:multiLevelType w:val="hybridMultilevel"/>
    <w:tmpl w:val="8BF48BCC"/>
    <w:lvl w:ilvl="0" w:tplc="100C000F">
      <w:start w:val="1"/>
      <w:numFmt w:val="decimal"/>
      <w:lvlText w:val="%1."/>
      <w:lvlJc w:val="left"/>
      <w:pPr>
        <w:ind w:left="1211" w:hanging="360"/>
      </w:pPr>
    </w:lvl>
    <w:lvl w:ilvl="1" w:tplc="100C0019" w:tentative="1">
      <w:start w:val="1"/>
      <w:numFmt w:val="lowerLetter"/>
      <w:lvlText w:val="%2."/>
      <w:lvlJc w:val="left"/>
      <w:pPr>
        <w:ind w:left="1931" w:hanging="360"/>
      </w:pPr>
    </w:lvl>
    <w:lvl w:ilvl="2" w:tplc="100C001B" w:tentative="1">
      <w:start w:val="1"/>
      <w:numFmt w:val="lowerRoman"/>
      <w:lvlText w:val="%3."/>
      <w:lvlJc w:val="right"/>
      <w:pPr>
        <w:ind w:left="2651" w:hanging="180"/>
      </w:pPr>
    </w:lvl>
    <w:lvl w:ilvl="3" w:tplc="100C000F" w:tentative="1">
      <w:start w:val="1"/>
      <w:numFmt w:val="decimal"/>
      <w:lvlText w:val="%4."/>
      <w:lvlJc w:val="left"/>
      <w:pPr>
        <w:ind w:left="3371" w:hanging="360"/>
      </w:pPr>
    </w:lvl>
    <w:lvl w:ilvl="4" w:tplc="100C0019" w:tentative="1">
      <w:start w:val="1"/>
      <w:numFmt w:val="lowerLetter"/>
      <w:lvlText w:val="%5."/>
      <w:lvlJc w:val="left"/>
      <w:pPr>
        <w:ind w:left="4091" w:hanging="360"/>
      </w:pPr>
    </w:lvl>
    <w:lvl w:ilvl="5" w:tplc="100C001B" w:tentative="1">
      <w:start w:val="1"/>
      <w:numFmt w:val="lowerRoman"/>
      <w:lvlText w:val="%6."/>
      <w:lvlJc w:val="right"/>
      <w:pPr>
        <w:ind w:left="4811" w:hanging="180"/>
      </w:pPr>
    </w:lvl>
    <w:lvl w:ilvl="6" w:tplc="100C000F" w:tentative="1">
      <w:start w:val="1"/>
      <w:numFmt w:val="decimal"/>
      <w:lvlText w:val="%7."/>
      <w:lvlJc w:val="left"/>
      <w:pPr>
        <w:ind w:left="5531" w:hanging="360"/>
      </w:pPr>
    </w:lvl>
    <w:lvl w:ilvl="7" w:tplc="100C0019" w:tentative="1">
      <w:start w:val="1"/>
      <w:numFmt w:val="lowerLetter"/>
      <w:lvlText w:val="%8."/>
      <w:lvlJc w:val="left"/>
      <w:pPr>
        <w:ind w:left="6251" w:hanging="360"/>
      </w:pPr>
    </w:lvl>
    <w:lvl w:ilvl="8" w:tplc="10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5A012B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5F3862"/>
    <w:multiLevelType w:val="hybridMultilevel"/>
    <w:tmpl w:val="32FEC264"/>
    <w:lvl w:ilvl="0" w:tplc="100C0017">
      <w:start w:val="1"/>
      <w:numFmt w:val="lowerLetter"/>
      <w:lvlText w:val="%1)"/>
      <w:lvlJc w:val="left"/>
      <w:pPr>
        <w:ind w:left="1571" w:hanging="360"/>
      </w:pPr>
    </w:lvl>
    <w:lvl w:ilvl="1" w:tplc="100C0019" w:tentative="1">
      <w:start w:val="1"/>
      <w:numFmt w:val="lowerLetter"/>
      <w:lvlText w:val="%2."/>
      <w:lvlJc w:val="left"/>
      <w:pPr>
        <w:ind w:left="2291" w:hanging="360"/>
      </w:pPr>
    </w:lvl>
    <w:lvl w:ilvl="2" w:tplc="100C001B" w:tentative="1">
      <w:start w:val="1"/>
      <w:numFmt w:val="lowerRoman"/>
      <w:lvlText w:val="%3."/>
      <w:lvlJc w:val="right"/>
      <w:pPr>
        <w:ind w:left="3011" w:hanging="180"/>
      </w:pPr>
    </w:lvl>
    <w:lvl w:ilvl="3" w:tplc="100C000F" w:tentative="1">
      <w:start w:val="1"/>
      <w:numFmt w:val="decimal"/>
      <w:lvlText w:val="%4."/>
      <w:lvlJc w:val="left"/>
      <w:pPr>
        <w:ind w:left="3731" w:hanging="360"/>
      </w:pPr>
    </w:lvl>
    <w:lvl w:ilvl="4" w:tplc="100C0019" w:tentative="1">
      <w:start w:val="1"/>
      <w:numFmt w:val="lowerLetter"/>
      <w:lvlText w:val="%5."/>
      <w:lvlJc w:val="left"/>
      <w:pPr>
        <w:ind w:left="4451" w:hanging="360"/>
      </w:pPr>
    </w:lvl>
    <w:lvl w:ilvl="5" w:tplc="100C001B" w:tentative="1">
      <w:start w:val="1"/>
      <w:numFmt w:val="lowerRoman"/>
      <w:lvlText w:val="%6."/>
      <w:lvlJc w:val="right"/>
      <w:pPr>
        <w:ind w:left="5171" w:hanging="180"/>
      </w:pPr>
    </w:lvl>
    <w:lvl w:ilvl="6" w:tplc="100C000F" w:tentative="1">
      <w:start w:val="1"/>
      <w:numFmt w:val="decimal"/>
      <w:lvlText w:val="%7."/>
      <w:lvlJc w:val="left"/>
      <w:pPr>
        <w:ind w:left="5891" w:hanging="360"/>
      </w:pPr>
    </w:lvl>
    <w:lvl w:ilvl="7" w:tplc="100C0019" w:tentative="1">
      <w:start w:val="1"/>
      <w:numFmt w:val="lowerLetter"/>
      <w:lvlText w:val="%8."/>
      <w:lvlJc w:val="left"/>
      <w:pPr>
        <w:ind w:left="6611" w:hanging="360"/>
      </w:pPr>
    </w:lvl>
    <w:lvl w:ilvl="8" w:tplc="10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3"/>
    <w:rsid w:val="00213753"/>
    <w:rsid w:val="008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4D0F8"/>
  <w15:chartTrackingRefBased/>
  <w15:docId w15:val="{E735ABFC-8883-4C0A-AF74-5DB4CF89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1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uiPriority w:val="99"/>
    <w:rsid w:val="00213753"/>
    <w:rPr>
      <w:rFonts w:ascii="Arial" w:hAnsi="Arial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2295</Characters>
  <Application>Microsoft Office Word</Application>
  <DocSecurity>0</DocSecurity>
  <Lines>19</Lines>
  <Paragraphs>5</Paragraphs>
  <ScaleCrop>false</ScaleCrop>
  <Company>Etat du Valais - Staat Wallis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MEIER</dc:creator>
  <cp:keywords/>
  <dc:description/>
  <cp:lastModifiedBy>Alain MEIER</cp:lastModifiedBy>
  <cp:revision>1</cp:revision>
  <dcterms:created xsi:type="dcterms:W3CDTF">2021-04-26T10:21:00Z</dcterms:created>
  <dcterms:modified xsi:type="dcterms:W3CDTF">2021-04-26T10:23:00Z</dcterms:modified>
</cp:coreProperties>
</file>