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BF" w:rsidRPr="00AF634E" w:rsidRDefault="00FD502E" w:rsidP="00F71EBF">
      <w:r w:rsidRPr="00FD502E">
        <w:rPr>
          <w:noProof/>
        </w:rPr>
        <w:drawing>
          <wp:inline distT="0" distB="0" distL="0" distR="0" wp14:anchorId="21442A60" wp14:editId="16FD7833">
            <wp:extent cx="3505689" cy="136226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689" cy="1362265"/>
                    </a:xfrm>
                    <a:prstGeom prst="rect">
                      <a:avLst/>
                    </a:prstGeom>
                  </pic:spPr>
                </pic:pic>
              </a:graphicData>
            </a:graphic>
          </wp:inline>
        </w:drawing>
      </w:r>
    </w:p>
    <w:p w:rsidR="00F71EBF" w:rsidRPr="00AF634E" w:rsidRDefault="00F71EBF" w:rsidP="00F71EBF"/>
    <w:p w:rsidR="00F71EBF" w:rsidRDefault="00F71EBF" w:rsidP="00F71EBF"/>
    <w:p w:rsidR="00FD502E" w:rsidRDefault="00FD502E" w:rsidP="00FD502E">
      <w:pPr>
        <w:jc w:val="center"/>
        <w:rPr>
          <w:b/>
          <w:sz w:val="32"/>
        </w:rPr>
      </w:pPr>
      <w:r>
        <w:rPr>
          <w:b/>
          <w:sz w:val="32"/>
        </w:rPr>
        <w:t>Formulaire pour la consultation</w:t>
      </w:r>
    </w:p>
    <w:p w:rsidR="00F71EBF" w:rsidRDefault="00FD502E" w:rsidP="00FD502E">
      <w:pPr>
        <w:jc w:val="center"/>
        <w:rPr>
          <w:b/>
          <w:sz w:val="32"/>
        </w:rPr>
      </w:pPr>
      <w:r w:rsidRPr="00FD502E">
        <w:rPr>
          <w:b/>
          <w:sz w:val="32"/>
        </w:rPr>
        <w:t>Avant-projet de révision totale de la loi sur la formation et la recherche universitaires (LFRu)</w:t>
      </w:r>
    </w:p>
    <w:p w:rsidR="00F71EBF" w:rsidRDefault="00F71EBF" w:rsidP="00F71EBF">
      <w:pPr>
        <w:jc w:val="center"/>
        <w:rPr>
          <w:b/>
          <w:sz w:val="36"/>
        </w:rPr>
      </w:pPr>
    </w:p>
    <w:p w:rsidR="00F71EBF" w:rsidRPr="00E97975" w:rsidRDefault="00F71EBF" w:rsidP="00F71EBF">
      <w:pPr>
        <w:jc w:val="center"/>
        <w:rPr>
          <w:sz w:val="24"/>
        </w:rPr>
      </w:pPr>
      <w:r w:rsidRPr="00E97975">
        <w:rPr>
          <w:sz w:val="24"/>
        </w:rPr>
        <w:t xml:space="preserve">A transmettre d’ici au </w:t>
      </w:r>
      <w:r w:rsidR="00CF153F">
        <w:rPr>
          <w:sz w:val="24"/>
        </w:rPr>
        <w:t>30</w:t>
      </w:r>
      <w:r w:rsidR="00FD502E">
        <w:rPr>
          <w:sz w:val="24"/>
        </w:rPr>
        <w:t xml:space="preserve"> octobre 2023</w:t>
      </w:r>
    </w:p>
    <w:p w:rsidR="00F71EBF" w:rsidRDefault="00F71EBF" w:rsidP="00F71EBF">
      <w:pPr>
        <w:jc w:val="center"/>
      </w:pPr>
    </w:p>
    <w:p w:rsidR="00F71EBF" w:rsidRDefault="00F71EBF" w:rsidP="00F71EBF">
      <w:pPr>
        <w:jc w:val="center"/>
      </w:pPr>
      <w:r>
        <w:t xml:space="preserve">Par courrier électronique à </w:t>
      </w:r>
      <w:hyperlink r:id="rId8" w:history="1">
        <w:r w:rsidRPr="003221F6">
          <w:rPr>
            <w:rStyle w:val="Lienhypertexte"/>
          </w:rPr>
          <w:t>she@admin.vs.ch</w:t>
        </w:r>
      </w:hyperlink>
      <w:r w:rsidRPr="0037286A">
        <w:rPr>
          <w:rStyle w:val="Lienhypertexte"/>
          <w:color w:val="auto"/>
          <w:u w:val="none"/>
        </w:rPr>
        <w:t xml:space="preserve"> ou </w:t>
      </w:r>
      <w:r>
        <w:t>p</w:t>
      </w:r>
      <w:r w:rsidRPr="00E97975">
        <w:t>ar courrier postal</w:t>
      </w:r>
      <w:r>
        <w:br/>
      </w:r>
      <w:r w:rsidRPr="00E97975">
        <w:t xml:space="preserve"> </w:t>
      </w:r>
      <w:r>
        <w:t xml:space="preserve">au Service des hautes écoles, </w:t>
      </w:r>
      <w:r w:rsidR="007C32CE">
        <w:t xml:space="preserve">Yves Rey, </w:t>
      </w:r>
      <w:r>
        <w:t>Chef de service, Rue de Conthey 19, 1950 Sion</w:t>
      </w:r>
      <w:r>
        <w:br/>
      </w: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338"/>
        <w:gridCol w:w="4320"/>
      </w:tblGrid>
      <w:tr w:rsidR="00F71EBF" w:rsidRPr="00B827CA" w:rsidTr="00271D7C">
        <w:trPr>
          <w:trHeight w:val="421"/>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r w:rsidRPr="00B827CA">
              <w:t>Nom de l’organisme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tc>
      </w:tr>
      <w:tr w:rsidR="00F71EBF" w:rsidTr="00271D7C">
        <w:trPr>
          <w:trHeight w:val="453"/>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r w:rsidRPr="00B827CA">
              <w:t>Personne de contact</w:t>
            </w:r>
            <w:r>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tc>
      </w:tr>
      <w:tr w:rsidR="00F71EBF" w:rsidTr="00271D7C">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Default="00F71EBF" w:rsidP="00271D7C">
            <w:r>
              <w:t>Adresse :</w:t>
            </w:r>
          </w:p>
          <w:p w:rsidR="00F71EBF" w:rsidRDefault="00F71EBF" w:rsidP="00271D7C"/>
          <w:p w:rsidR="00F71EBF" w:rsidRDefault="00F71EBF" w:rsidP="00271D7C"/>
          <w:p w:rsidR="00F71EBF" w:rsidRDefault="00F71EBF" w:rsidP="00271D7C"/>
          <w:p w:rsidR="00F71EBF" w:rsidRPr="00B827CA" w:rsidRDefault="00F71EBF" w:rsidP="00271D7C"/>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tc>
      </w:tr>
      <w:tr w:rsidR="00F71EBF" w:rsidTr="00271D7C">
        <w:trPr>
          <w:trHeight w:val="493"/>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r>
              <w:t>Téléphone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tc>
      </w:tr>
      <w:tr w:rsidR="00F71EBF" w:rsidTr="00271D7C">
        <w:trPr>
          <w:trHeight w:val="557"/>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r>
              <w:t>Date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F71EBF" w:rsidRPr="00B827CA" w:rsidRDefault="00F71EBF" w:rsidP="00271D7C"/>
        </w:tc>
      </w:tr>
    </w:tbl>
    <w:p w:rsidR="00F71EBF" w:rsidRPr="00B827CA" w:rsidRDefault="00F71EBF" w:rsidP="00F71EBF"/>
    <w:p w:rsidR="00F71EBF" w:rsidRDefault="00F71EBF" w:rsidP="00F71EBF">
      <w:pPr>
        <w:rPr>
          <w:sz w:val="24"/>
        </w:rPr>
      </w:pPr>
    </w:p>
    <w:p w:rsidR="00F71EBF" w:rsidRPr="00E97975" w:rsidRDefault="00F71EBF" w:rsidP="00F71EBF">
      <w:pPr>
        <w:rPr>
          <w:sz w:val="24"/>
        </w:rPr>
      </w:pPr>
    </w:p>
    <w:p w:rsidR="00B5718E" w:rsidRDefault="00F71EBF" w:rsidP="001E790B">
      <w:r>
        <w:br w:type="page"/>
      </w:r>
    </w:p>
    <w:tbl>
      <w:tblPr>
        <w:tblStyle w:val="Grilledutableau"/>
        <w:tblW w:w="0" w:type="auto"/>
        <w:tblInd w:w="-142" w:type="dxa"/>
        <w:tblLook w:val="04A0" w:firstRow="1" w:lastRow="0" w:firstColumn="1" w:lastColumn="0" w:noHBand="0" w:noVBand="1"/>
      </w:tblPr>
      <w:tblGrid>
        <w:gridCol w:w="9063"/>
      </w:tblGrid>
      <w:tr w:rsidR="00B5718E" w:rsidRPr="00180E74" w:rsidTr="006D1D71">
        <w:tc>
          <w:tcPr>
            <w:tcW w:w="9063" w:type="dxa"/>
            <w:tcBorders>
              <w:top w:val="nil"/>
              <w:left w:val="nil"/>
              <w:bottom w:val="nil"/>
              <w:right w:val="nil"/>
            </w:tcBorders>
            <w:shd w:val="clear" w:color="auto" w:fill="auto"/>
          </w:tcPr>
          <w:p w:rsidR="00B5718E" w:rsidRPr="00180E74" w:rsidRDefault="00B5718E" w:rsidP="00180E74">
            <w:pPr>
              <w:rPr>
                <w:b/>
                <w:bCs/>
                <w:sz w:val="22"/>
              </w:rPr>
            </w:pPr>
            <w:r w:rsidRPr="00180E74">
              <w:rPr>
                <w:b/>
                <w:bCs/>
                <w:sz w:val="22"/>
              </w:rPr>
              <w:t>1. G</w:t>
            </w:r>
            <w:r w:rsidR="00180E74">
              <w:rPr>
                <w:b/>
                <w:bCs/>
                <w:sz w:val="22"/>
              </w:rPr>
              <w:t>énéral</w:t>
            </w:r>
          </w:p>
        </w:tc>
      </w:tr>
    </w:tbl>
    <w:p w:rsidR="00B5718E" w:rsidRPr="00835BFF" w:rsidRDefault="00B5718E" w:rsidP="00B5718E">
      <w:pPr>
        <w:rPr>
          <w:lang w:val="de-CH"/>
        </w:rPr>
      </w:pPr>
    </w:p>
    <w:p w:rsidR="00B5718E" w:rsidRDefault="00B5718E" w:rsidP="00B5718E">
      <w:r w:rsidRPr="007B14F2">
        <w:t>De manière générale, approuvez-vous l</w:t>
      </w:r>
      <w:r>
        <w:t>’orientation de l’a</w:t>
      </w:r>
      <w:r w:rsidRPr="006F401C">
        <w:t>vant-projet de révision totale de la loi sur la formation et la recherche universitaires (LFRu)</w:t>
      </w:r>
      <w:r>
        <w:t> ?</w:t>
      </w:r>
    </w:p>
    <w:p w:rsidR="00B5718E" w:rsidRPr="007B14F2" w:rsidRDefault="00B5718E" w:rsidP="00B5718E"/>
    <w:p w:rsidR="00B5718E" w:rsidRDefault="00E061CD" w:rsidP="00B5718E">
      <w:sdt>
        <w:sdtPr>
          <w:tag w:val="Stossrichtung_Ja"/>
          <w:id w:val="2012876002"/>
          <w14:checkbox>
            <w14:checked w14:val="0"/>
            <w14:checkedState w14:val="2612" w14:font="MS Gothic"/>
            <w14:uncheckedState w14:val="2610" w14:font="MS Gothic"/>
          </w14:checkbox>
        </w:sdtPr>
        <w:sdtEndPr/>
        <w:sdtContent>
          <w:r w:rsidR="00B5718E" w:rsidRPr="007B14F2">
            <w:rPr>
              <w:rFonts w:ascii="Segoe UI Symbol" w:hAnsi="Segoe UI Symbol" w:cs="Segoe UI Symbol"/>
            </w:rPr>
            <w:t>☐</w:t>
          </w:r>
        </w:sdtContent>
      </w:sdt>
      <w:r w:rsidR="00B5718E" w:rsidRPr="007B14F2">
        <w:t xml:space="preserve"> Oui </w:t>
      </w:r>
      <w:sdt>
        <w:sdtPr>
          <w:tag w:val="Stossrichtung_Eher_Ja"/>
          <w:id w:val="-1908292741"/>
          <w14:checkbox>
            <w14:checked w14:val="0"/>
            <w14:checkedState w14:val="2612" w14:font="MS Gothic"/>
            <w14:uncheckedState w14:val="2610" w14:font="MS Gothic"/>
          </w14:checkbox>
        </w:sdtPr>
        <w:sdtEndPr/>
        <w:sdtContent>
          <w:r w:rsidR="00B5718E" w:rsidRPr="007B14F2">
            <w:t xml:space="preserve"> </w:t>
          </w:r>
          <w:r w:rsidR="00B5718E" w:rsidRPr="007B14F2">
            <w:rPr>
              <w:rFonts w:ascii="Segoe UI Symbol" w:hAnsi="Segoe UI Symbol" w:cs="Segoe UI Symbol"/>
            </w:rPr>
            <w:t>☐</w:t>
          </w:r>
        </w:sdtContent>
      </w:sdt>
      <w:r w:rsidR="00B5718E" w:rsidRPr="007B14F2">
        <w:t xml:space="preserve"> Plutôt oui </w:t>
      </w:r>
      <w:sdt>
        <w:sdtPr>
          <w:tag w:val="Stossrichtung_Eher_Nein"/>
          <w:id w:val="-1706708380"/>
          <w14:checkbox>
            <w14:checked w14:val="0"/>
            <w14:checkedState w14:val="2612" w14:font="MS Gothic"/>
            <w14:uncheckedState w14:val="2610" w14:font="MS Gothic"/>
          </w14:checkbox>
        </w:sdtPr>
        <w:sdtEndPr/>
        <w:sdtContent>
          <w:r w:rsidR="00B5718E" w:rsidRPr="007B14F2">
            <w:rPr>
              <w:rFonts w:ascii="MS Gothic" w:eastAsia="MS Gothic" w:hAnsi="MS Gothic" w:hint="eastAsia"/>
            </w:rPr>
            <w:t>☐</w:t>
          </w:r>
        </w:sdtContent>
      </w:sdt>
      <w:r w:rsidR="00B5718E" w:rsidRPr="007B14F2">
        <w:t xml:space="preserve"> Plutôt non </w:t>
      </w:r>
      <w:sdt>
        <w:sdtPr>
          <w:tag w:val="Stossrichtung_Nein"/>
          <w:id w:val="49196644"/>
          <w14:checkbox>
            <w14:checked w14:val="0"/>
            <w14:checkedState w14:val="2612" w14:font="MS Gothic"/>
            <w14:uncheckedState w14:val="2610" w14:font="MS Gothic"/>
          </w14:checkbox>
        </w:sdtPr>
        <w:sdtEndPr/>
        <w:sdtContent>
          <w:r w:rsidR="00B5718E">
            <w:rPr>
              <w:rFonts w:ascii="MS Gothic" w:eastAsia="MS Gothic" w:hAnsi="MS Gothic" w:hint="eastAsia"/>
            </w:rPr>
            <w:t>☐</w:t>
          </w:r>
        </w:sdtContent>
      </w:sdt>
      <w:r w:rsidR="00B5718E" w:rsidRPr="007B14F2">
        <w:t xml:space="preserve"> Non </w:t>
      </w:r>
      <w:sdt>
        <w:sdtPr>
          <w:tag w:val="Stossrichtung_KA"/>
          <w:id w:val="-1787572671"/>
          <w14:checkbox>
            <w14:checked w14:val="0"/>
            <w14:checkedState w14:val="2612" w14:font="MS Gothic"/>
            <w14:uncheckedState w14:val="2610" w14:font="MS Gothic"/>
          </w14:checkbox>
        </w:sdtPr>
        <w:sdtEndPr/>
        <w:sdtContent>
          <w:r w:rsidR="00B5718E" w:rsidRPr="007B14F2">
            <w:t xml:space="preserve"> </w:t>
          </w:r>
          <w:r w:rsidR="00B5718E" w:rsidRPr="007B14F2">
            <w:rPr>
              <w:rFonts w:ascii="Segoe UI Symbol" w:hAnsi="Segoe UI Symbol" w:cs="Segoe UI Symbol"/>
            </w:rPr>
            <w:t>☐</w:t>
          </w:r>
        </w:sdtContent>
      </w:sdt>
      <w:r w:rsidR="00B5718E" w:rsidRPr="007B14F2">
        <w:t xml:space="preserve"> Pas de réponse</w:t>
      </w:r>
    </w:p>
    <w:p w:rsidR="00180E74" w:rsidRDefault="00180E74" w:rsidP="00B5718E"/>
    <w:p w:rsidR="00B5718E" w:rsidRPr="007B14F2" w:rsidRDefault="00B5718E" w:rsidP="00B5718E"/>
    <w:tbl>
      <w:tblPr>
        <w:tblStyle w:val="Grilledutableau"/>
        <w:tblW w:w="0" w:type="auto"/>
        <w:tblLook w:val="04A0" w:firstRow="1" w:lastRow="0" w:firstColumn="1" w:lastColumn="0" w:noHBand="0" w:noVBand="1"/>
      </w:tblPr>
      <w:tblGrid>
        <w:gridCol w:w="14737"/>
      </w:tblGrid>
      <w:tr w:rsidR="00B5718E" w:rsidRPr="007B14F2" w:rsidTr="00180E74">
        <w:trPr>
          <w:trHeight w:val="8097"/>
        </w:trPr>
        <w:tc>
          <w:tcPr>
            <w:tcW w:w="14737" w:type="dxa"/>
          </w:tcPr>
          <w:sdt>
            <w:sdtPr>
              <w:rPr>
                <w:rStyle w:val="Formatvorlage1"/>
              </w:rPr>
              <w:tag w:val="Stossrichtung_Erläuterung"/>
              <w:id w:val="-1939434716"/>
              <w:placeholder>
                <w:docPart w:val="899C5D36065042468206C65C6FBCB978"/>
              </w:placeholder>
              <w15:color w:val="FFFFFF"/>
            </w:sdtPr>
            <w:sdtEndPr>
              <w:rPr>
                <w:rStyle w:val="Policepardfaut"/>
              </w:rPr>
            </w:sdtEndPr>
            <w:sdtContent>
              <w:p w:rsidR="00180E74" w:rsidRDefault="00180E74" w:rsidP="00B5718E">
                <w:pPr>
                  <w:rPr>
                    <w:rStyle w:val="Formatvorlage1"/>
                  </w:rPr>
                </w:pPr>
                <w:r>
                  <w:rPr>
                    <w:rStyle w:val="Formatvorlage1"/>
                  </w:rPr>
                  <w:t>Remarques / observation</w:t>
                </w:r>
              </w:p>
              <w:p w:rsidR="00180E74" w:rsidRDefault="00180E74" w:rsidP="00B5718E">
                <w:pPr>
                  <w:rPr>
                    <w:rStyle w:val="Formatvorlage1"/>
                  </w:rPr>
                </w:pPr>
              </w:p>
              <w:p w:rsidR="00180E74" w:rsidRDefault="00180E74" w:rsidP="00B5718E">
                <w:pPr>
                  <w:rPr>
                    <w:rStyle w:val="Formatvorlage1"/>
                  </w:rPr>
                </w:pPr>
              </w:p>
              <w:p w:rsidR="00180E74" w:rsidRDefault="00180E74" w:rsidP="00B5718E">
                <w:pPr>
                  <w:rPr>
                    <w:rStyle w:val="Formatvorlage1"/>
                  </w:rPr>
                </w:pPr>
              </w:p>
              <w:p w:rsidR="00180E74" w:rsidRDefault="00180E74" w:rsidP="00B5718E">
                <w:pPr>
                  <w:rPr>
                    <w:rStyle w:val="Formatvorlage1"/>
                  </w:rPr>
                </w:pPr>
              </w:p>
              <w:p w:rsidR="00B5718E" w:rsidRPr="007B14F2" w:rsidRDefault="00E061CD" w:rsidP="00B5718E">
                <w:pPr>
                  <w:rPr>
                    <w:color w:val="808080"/>
                  </w:rPr>
                </w:pPr>
              </w:p>
            </w:sdtContent>
          </w:sdt>
        </w:tc>
      </w:tr>
    </w:tbl>
    <w:p w:rsidR="00B5718E" w:rsidRPr="007B14F2" w:rsidRDefault="00B5718E" w:rsidP="00B5718E"/>
    <w:p w:rsidR="00B5718E" w:rsidRDefault="00B5718E">
      <w:pPr>
        <w:keepLines w:val="0"/>
        <w:widowControl/>
        <w:tabs>
          <w:tab w:val="clear" w:pos="14854"/>
        </w:tabs>
        <w:rPr>
          <w:b/>
          <w:bCs/>
          <w:sz w:val="22"/>
        </w:rPr>
      </w:pPr>
    </w:p>
    <w:p w:rsidR="00B5718E" w:rsidRDefault="00B5718E">
      <w:pPr>
        <w:keepLines w:val="0"/>
        <w:widowControl/>
        <w:tabs>
          <w:tab w:val="clear" w:pos="14854"/>
        </w:tabs>
        <w:rPr>
          <w:b/>
          <w:bCs/>
          <w:sz w:val="22"/>
        </w:rPr>
      </w:pPr>
      <w:r>
        <w:rPr>
          <w:b/>
          <w:bCs/>
          <w:sz w:val="22"/>
        </w:rPr>
        <w:br w:type="page"/>
      </w:r>
    </w:p>
    <w:p w:rsidR="001E790B" w:rsidRDefault="00B5718E" w:rsidP="001E790B">
      <w:r>
        <w:rPr>
          <w:b/>
          <w:bCs/>
          <w:sz w:val="22"/>
        </w:rPr>
        <w:t>2</w:t>
      </w:r>
      <w:r w:rsidR="001E790B">
        <w:rPr>
          <w:b/>
          <w:bCs/>
          <w:sz w:val="22"/>
        </w:rPr>
        <w:t>. Sy</w:t>
      </w:r>
      <w:r w:rsidR="001E790B" w:rsidRPr="006B0455">
        <w:rPr>
          <w:b/>
          <w:bCs/>
          <w:sz w:val="22"/>
        </w:rPr>
        <w:t>nthèse synoptique par article</w:t>
      </w:r>
    </w:p>
    <w:p w:rsidR="00FF1B7E" w:rsidRDefault="00FF1B7E"/>
    <w:tbl>
      <w:tblPr>
        <w:tblW w:w="14856" w:type="dxa"/>
        <w:tblLayout w:type="fixed"/>
        <w:tblCellMar>
          <w:top w:w="108" w:type="dxa"/>
          <w:bottom w:w="108" w:type="dxa"/>
        </w:tblCellMar>
        <w:tblLook w:val="0000" w:firstRow="0" w:lastRow="0" w:firstColumn="0" w:lastColumn="0" w:noHBand="0" w:noVBand="0"/>
      </w:tblPr>
      <w:tblGrid>
        <w:gridCol w:w="8926"/>
        <w:gridCol w:w="5930"/>
      </w:tblGrid>
      <w:tr w:rsidR="00FD502E" w:rsidTr="00012E14">
        <w:trPr>
          <w:tblHeader/>
        </w:trPr>
        <w:tc>
          <w:tcPr>
            <w:tcW w:w="892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D502E" w:rsidRDefault="00FD502E" w:rsidP="005E7218">
            <w:pPr>
              <w:pStyle w:val="TableContents"/>
            </w:pPr>
            <w:r>
              <w:rPr>
                <w:b/>
                <w:sz w:val="22"/>
              </w:rPr>
              <w:t>Avant-projet de loi</w:t>
            </w:r>
          </w:p>
        </w:tc>
        <w:tc>
          <w:tcPr>
            <w:tcW w:w="593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D502E" w:rsidRPr="00012E14" w:rsidRDefault="00FD502E" w:rsidP="00012E14">
            <w:pPr>
              <w:pStyle w:val="TableContents"/>
              <w:rPr>
                <w:rFonts w:cs="Arial"/>
                <w:b/>
              </w:rPr>
            </w:pPr>
            <w:r w:rsidRPr="00012E14">
              <w:rPr>
                <w:rFonts w:cs="Arial"/>
                <w:b/>
              </w:rPr>
              <w:t>Commentaires / Observations</w:t>
            </w: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Loi sur l’encouragement des hautes écoles et de la recherche (LEHER)</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1 Dispositions générales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w:t>
            </w:r>
            <w:r>
              <w:br/>
            </w:r>
            <w:r>
              <w:rPr>
                <w:sz w:val="14"/>
              </w:rPr>
              <w:t>But et objet</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canton veille à la coordination, à la qualité et à la cohérence du paysage valaisan des hautes écoles et de la recherche. Il encourage les institutions tertiaires définies à l’article 2 alinéa 2 de la présente loi dans le cadre de leurs missions de formation et de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La présente loi règle les principes suivants: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la coordination du paysage valaisan des hautes écoles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les contributions financières cantonales aux institutions tertiaires localisées sur le territoire du canton;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la surveillance cantonale des institutions tertiaires du canton fondée notamment sur les prestations des institutions et l’utilisation rationnelle et efficace des fonds octroyés.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Sont réservées les contributions versées aux institutions tertiaires du canton par d’autres lois ou conventions fédérales ou cantonales ainsi que par des accords cantonaux et intercantonaux.</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2</w:t>
            </w:r>
            <w:r>
              <w:br/>
            </w:r>
            <w:r>
              <w:rPr>
                <w:sz w:val="14"/>
              </w:rPr>
              <w:t>Champ d’application</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La présente loi s’applique aux institutions tertiaires localisées sur le territoire du canton.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Sont des institutions tertiaires au sens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les hautes écoles ou institutions du domaine des hautes écoles accréditées selon la loi fédérale sur l'encouragement des hautes écoles et la coordination dans le domaine suisse des hautes écoles (LEHE);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les institutions autonomes membres d'une haute école ou d'une institution du domaine des hautes écoles accréditées selon la LEHE;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les antennes des hautes écoles ou institutions du domaine des hautes écoles accréditées selon la LEHE;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les autres institutions scientifiques reconnues par le Conseil d'Etat.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La présente loi ne s'applique pas aux institutions délivrant un diplôme relevant de la formation professionnelle supérieure.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3</w:t>
            </w:r>
            <w:r>
              <w:br/>
            </w:r>
            <w:r>
              <w:rPr>
                <w:sz w:val="14"/>
              </w:rPr>
              <w:t>Objectifs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Pour le paysage valaisan des hautes écoles et de la recherche, le canton poursuit notamment les objectifs suivants: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encourager la formation dispensée par les hautes écoles ou institutions du domaine des hautes écoles;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encourager la recherche fondamentale, la recherche orientée vers les applications ainsi que l’innovation fondée sur la science;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créer un environnement favorable à un enseignement et à une recherche de qualité dans l’ensemble du canton;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développer un paysage valaisan des hautes écoles et de la recherche incluant différents types d’institutions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e) veiller à la coordination du paysage valaisan des hautes écoles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f) encourager la collaboration entre les institutions tertiaires, notamment par le partage d'infrastructures;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g) encourager les institutions tertiaires à obtenir des fonds tiers compétitifs;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h) définir une politique cantonale des hautes écoles et de la recherche cohérente et compatible avec la politique d’encouragement de la recherche et de l’innovation de la Confédération;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i) disposer d’outils permettant de soutenir financièrement de façon efficiente les 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j) prévenir les distorsions de la concurrence entre les prestations des institutions tertiaires et celles offertes par les prestataires de la formation professionnelle supérieure.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Les institutions tertiaires s’engagent dans le développement économique, social et culturel durable du canton dans les domaines suivants: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l'enseignement de base, la formation continue et l’apprentissage tout au long de la vie;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le développement et le transfert de connaissances et de technologies;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les services à la société, notamment en lien avec les politiques sectorielles cantonales.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4</w:t>
            </w:r>
            <w:r>
              <w:br/>
            </w:r>
            <w:r>
              <w:rPr>
                <w:sz w:val="14"/>
              </w:rPr>
              <w:t>Tâches et compétences du canton</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canton assure la mise en œuvre des objectifs fixés dans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Il reverse aux institutions tertiaires les contributions de la Confédération et des autres cantons dans la mesure où les institutions tertiaires ne peuvent pas les percevoir directement.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Sont réservées les contributions versées aux institutions tertiaires par d’autres lois spécifiques.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5</w:t>
            </w:r>
            <w:r>
              <w:br/>
            </w:r>
            <w:r>
              <w:rPr>
                <w:sz w:val="14"/>
              </w:rPr>
              <w:t>Principes à respecter par le canton et les institutions tertiaires dans l’accomplissement de leurs tâches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Dans l’accomplissement de ses tâches, le canton: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respecte l’autonomie accordée aux institutions tertiaires ainsi que les principes de liberté de l’enseignement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tient compte de la spécificité des 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tient compte des disponibilités budgétaires cantonales.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Dans l’accomplissement de leurs tâches, les institutions tertiaires respectent les standards en vigueur dans les dispositions fédérales sur l’encouragement et la coordination des hautes écoles ainsi que sur l’encouragement de la recherche et de l’innovation.</w:t>
            </w:r>
          </w:p>
          <w:p w:rsidR="00FD502E" w:rsidRDefault="00FD502E" w:rsidP="005E7218">
            <w:pPr>
              <w:pStyle w:val="TableContents"/>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2 Gouvernance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6</w:t>
            </w:r>
            <w:r>
              <w:br/>
            </w:r>
            <w:r>
              <w:rPr>
                <w:sz w:val="14"/>
              </w:rPr>
              <w:t>Grand Conseil</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Grand Conseil:</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décide, pour une période de 4 ans, les grandes orientations en matière de formation tertiaire et de recherche ainsi que le crédit-cadre (budget global) portant sur les contributions cantonales aux institutions tertiaires selon l’article 13 alinéa 1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décide la localisation des institutions tertiaires sur le territoire du canton.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7</w:t>
            </w:r>
            <w:r>
              <w:br/>
            </w:r>
            <w:r>
              <w:rPr>
                <w:sz w:val="14"/>
              </w:rPr>
              <w:t>Conseil d’Etat</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Conseil d’Etat: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assure la surveillance des institutions tertiaires par le département en charge de la formation tertiaire (ci-après: le département);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accorde une reconnaissance aux institutions définies au sens de l’article 2 alinéa 2 lettre d de la présente loi selon les modalités prévues dans un règlement qu'il édicte;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octroie, dans la limite des disponibilités budgétaires de l’Etat, le budget global annuel des contributions cantonales aux institutions tertiaires selon l’article 13 alinéa 1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nomme les membres du Conseil de la formation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8</w:t>
            </w:r>
            <w:r>
              <w:br/>
            </w:r>
            <w:r>
              <w:rPr>
                <w:sz w:val="14"/>
              </w:rPr>
              <w:t>Département en charge de la formation tertiaire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département en charge de la formation tertiaire: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veille à l'application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veille à la coordination du paysage valaisan des hautes écoles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veille à développer les collaborations interinstitutionnelles;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assure la surveillance des 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e) octroie les contributions annuelles aux institutions tertiaires selon l’article 13 alinéa 1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f) représente les institutions tertiaires auprès du Grand Conseil, du Conseil d’Etat, ainsi qu'auprès des instances fédérales ou intercantonales;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g) autorise l’activité sur le territoire du canton des prestataires privés offrant des formations conduisant à l'obtention de diplômes de niveau haute école.</w:t>
            </w:r>
          </w:p>
          <w:p w:rsidR="00DB5FD8" w:rsidRDefault="00DB5FD8" w:rsidP="00987427">
            <w:pPr>
              <w:pStyle w:val="TableContents"/>
              <w:ind w:right="3"/>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9</w:t>
            </w:r>
            <w:r>
              <w:br/>
            </w:r>
            <w:r>
              <w:rPr>
                <w:sz w:val="14"/>
              </w:rPr>
              <w:t>Service en charge de la formation tertiaire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service en charge de la formation tertiaire (ci-après: le service):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assure la coordination entre les 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conclut les contrats de prestations avec les institutions tertiaires prévus à l'article 13 alinéa 2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surveille l’activité sur le territoire du canton des prestataires privés offrant des formations conduisant à l'obtention de diplômes de niveau haute école;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assure le secrétariat du Conseil de la formation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10</w:t>
            </w:r>
            <w:r>
              <w:br/>
            </w:r>
            <w:r>
              <w:rPr>
                <w:sz w:val="14"/>
              </w:rPr>
              <w:t>Conseil de la formation et de la recherche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Conseil de la formation et de la recherche (ci-après: le Conseil) est nommé pour chaque période administrative par le Conseil d'Etat, qui veille à la représentativité des membres.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Il est composé au maximum de 15 membres représentants les domaines scientifiques et académiques, économiques ainsi que de la société civile et des collectivités publiques.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Le Conseil est un organe consultatif en matière de politique des hautes écoles et de la recherche. Sur requête du département ou du service, il:</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conseille le département ou le service sur la réalisation des objectifs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conseille le département ou le service sur les priorités et axes de développement du paysage valaisan des hautes écoles et de la recherche;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relaie les actions et informations émanant du département ou du service auprès des milieux qu'il représente tout en entretenant et en développant des contacts avec ses partenaires externes.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4</w:t>
            </w:r>
            <w:r>
              <w:t> Le Conseil siège aussi souvent que nécessaire, mais il est réuni au moins une fois par an en séance ordinaire par le département. Le Conseil est présidé par la personne en charge du département, en son absence, par la personne en charge du service.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5</w:t>
            </w:r>
            <w:r>
              <w:t> À l'exception des employés et enseignants salariés à plein temps par l'Etat, les membres du Conseil sont rétribués selon les dispositions en vigueur pour les commissions nommées par le Conseil d'Etat.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11</w:t>
            </w:r>
            <w:r>
              <w:br/>
            </w:r>
            <w:r>
              <w:rPr>
                <w:sz w:val="14"/>
              </w:rPr>
              <w:t>Conférence de coordination du paysage valaisan des hautes écoles et de la recherche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La Conférence de coordination du paysage valaisan des hautes écoles et de la recherche se compose des recteurs ou directeurs des institutions tertiaires localisées sur le territoire du canton (ci-après: la Conférence).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La Conférence se constitue elle-même et peut se doter d’un règlement d’organisation.</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La Conférence assume les tâches suivantes: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dialoguer avec le département ou le service sur des éléments de politique de formation tertiaire et de recherche, de développement du paysage de la formation tertiaire et de la recherche ainsi que des outils de financement;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soutenir les intérêts collectifs des institutions tertiaires auprès de la société;</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assumer, le cas échéant, des tâches de coordination entre institutions tertiaires;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par ses actions, œuvrer au développement du paysage valaisan des hautes écoles et de la recherche.</w:t>
            </w:r>
          </w:p>
          <w:p w:rsidR="00FD502E" w:rsidRDefault="00FD502E" w:rsidP="00FD502E">
            <w:pPr>
              <w:pStyle w:val="TableContents"/>
              <w:ind w:right="3"/>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3 Contributions du canton</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12</w:t>
            </w:r>
            <w:r>
              <w:br/>
            </w:r>
            <w:r>
              <w:rPr>
                <w:sz w:val="14"/>
              </w:rPr>
              <w:t>Principe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canton octroie aux institutions tertiaires des contributions annuelles dont les montants sont déterminés par:</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les lois fédérales et les conventions cantonales et intercantonales.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13</w:t>
            </w:r>
            <w:r>
              <w:br/>
            </w:r>
            <w:r>
              <w:rPr>
                <w:sz w:val="14"/>
              </w:rPr>
              <w:t>Contributions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département, par son service, octroie aux institutions tertiaires, dans la limite des disponibilités budgétaires de l’Etat, des contributions annuelles liées à:</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des projets s’inscrivant dans les missions cantonales de formation tertiaire et de recherche pour les institutions tertiaires au sens de l’article 2 alinéa 2 lettres a à d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des conventions cantonales et intercantonales, pour les institutions tertiaires au sens de l’article 2 alinéa 2 lettre c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une participation aux frais d’exploitation pour les institutions tertiaires au sens de l’article 2 alinéa 2 lettres a, b et d de la présente loi. Ces institutions tertiaires ne doivent pas entrer dans le champ d'application d'une loi cantonale spécifique et doivent offrir un enseignement public au sens de l'article 45 alinéa 3 LEHE;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des performances antérieures, notamment sur les prestations de formation et de recherche, pour les institutions tertiaires au sens de l’article 2 alinéa 2 lettres a, b et d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Le service conclut des contrats de prestations avec les institutions tertiaires bénéficiant des contributions au sens du présent article.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Les contributions sont calculées et enregistrées selon le principe de l'annualité des comptes.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4</w:t>
            </w:r>
            <w:r>
              <w:t> Un règlement du Conseil d'Etat précise les modalités des contributions annuelles aux institutions tertiaires.</w:t>
            </w:r>
          </w:p>
          <w:p w:rsidR="00FD502E" w:rsidRDefault="00FD502E" w:rsidP="005E7218">
            <w:pPr>
              <w:pStyle w:val="TableContents"/>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4 Surveillance, protection des titres et protection contre les fraudes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14</w:t>
            </w:r>
            <w:r>
              <w:br/>
            </w:r>
            <w:r>
              <w:rPr>
                <w:sz w:val="14"/>
              </w:rPr>
              <w:t>Surveillance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Les institutions tertiaires font l'objet d’une surveillance de la part du département, par son service, portant sur le respect des contrats de prestations, du subventionnement et de la qualité des prestations.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La surveillance cantonale des institutions tertiaires du canton porte notamment sur l’utilisation rationnelle et efficace des fonds octroyés.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3</w:t>
            </w:r>
            <w:r>
              <w:t> Sur proposition du service, le département réduit, suspend, supprime ou demande la restitution des contributions financières cantonales si les institutions tertiaires ne respectent pas la loi, les règlements ou les directives du département.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15</w:t>
            </w:r>
            <w:r>
              <w:br/>
            </w:r>
            <w:r>
              <w:rPr>
                <w:sz w:val="14"/>
              </w:rPr>
              <w:t>Protection des titres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Sont protégés tous les titres des niveaux suivants délivrés par les institutions tertiaires définies à l’article 2 alinéa 2 lettres a et b de la présente loi:</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les bachelor;</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les master;</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les grades ou titres de docteur;</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les licences universitaires;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e) les titres délivrés dans le cadre de la formation continue, soit les Certificate of Advanced Studies (CAS), les Diploma of Advanced Studies (DAS) ainsi que les Master of Advanced Studies (MAS) et leurs déclinaisons prévues par le droit fédéral.</w:t>
            </w:r>
          </w:p>
          <w:p w:rsidR="00987427" w:rsidRDefault="00987427" w:rsidP="005E7218">
            <w:pPr>
              <w:pStyle w:val="TableContents"/>
              <w:ind w:left="149" w:right="3" w:hanging="189"/>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16</w:t>
            </w:r>
            <w:r>
              <w:br/>
            </w:r>
            <w:r>
              <w:rPr>
                <w:sz w:val="14"/>
              </w:rPr>
              <w:t>Protection contre les fraudes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canton s’assure que les institutions tertiaires aient mis en place, dans leurs bases légales, les mesures nécessaires pour protéger les étudiants, les chercheurs et le personnel des institutions tertiaires contre les organisations et les personnes qui s’adonnent à la commercialisation et à la promotion de services éducatifs constitutifs de fraude par le biais d’internet, des réseaux sociaux, de la publicité ou autres.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Dans le cadre de la présente loi, la fraude s’entend d’un type de comportement ou d’action survenant visant la tromperie et l’obtention d’un avantage indu. Elle englobe notamment: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a) les activités des "usines à diplômes", "usines à accréditations", "usines à visas"," usines à dissertations" et banques de dissertations, etc.;</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b) l’usurpation d’identité consistant à exécuter, en tout ou en partie, des travaux ou des évaluations exigés dans le cadre d’un programme à la place de l’étudiant inscrit;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c) l’usage frauduleux ou irrégulier de documents authentiques;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d) le plagiat;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e) la production ou l’usage de documents falsifiés, plagiés ou contrefaits;</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ind w:left="149" w:right="3" w:hanging="189"/>
            </w:pPr>
            <w:r>
              <w:t>f) l’offre de qualifications non reconnues ou non agréées dans l’intention de tromper.</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ind w:left="149" w:right="3" w:hanging="189"/>
              <w:rPr>
                <w:rFonts w:cs="Arial"/>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17</w:t>
            </w:r>
            <w:r>
              <w:br/>
            </w:r>
            <w:r>
              <w:rPr>
                <w:sz w:val="14"/>
              </w:rPr>
              <w:t>Activité sur le territoire cantonal des prestataires privés offrant des formations conduisant à l'obtention de diplômes de niveau haute école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Une autorisation d’exploiter du département est nécessaire concernant l’activité sur le territoire cantonal des prestataires privés offrant des formations conduisant à l'obtention de diplômes de niveau haute école et ne bénéficiant pas d’une accréditation institutionnelle au sens de la LEHE.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Les dispositions y relatives sont fixées dans un règlement du Conseil d'Etat.</w:t>
            </w:r>
          </w:p>
          <w:p w:rsidR="00FD502E" w:rsidRDefault="00FD502E" w:rsidP="005E7218">
            <w:pPr>
              <w:pStyle w:val="TableContents"/>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sz w:val="22"/>
              </w:rPr>
              <w:t>5 Dispositions pénales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18</w:t>
            </w:r>
            <w:r>
              <w:br/>
            </w:r>
            <w:r>
              <w:rPr>
                <w:sz w:val="14"/>
              </w:rPr>
              <w:t>Autorité de poursuite pénale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La poursuite pénale des contraventions en application de la présente loi est confiée au service.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Conformément à l'article 38 alinéa 2 lettre b de la loi d'application du code de procédure pénale (LACPP), la procédure est régie par la loi sur la procédure et la juridiction administratives (LPJA).</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Default="00FD502E" w:rsidP="005E7218">
            <w:pPr>
              <w:pStyle w:val="TableContents"/>
            </w:pPr>
            <w:r>
              <w:rPr>
                <w:b/>
                <w:bCs/>
              </w:rPr>
              <w:t>Art.  19</w:t>
            </w:r>
            <w:r>
              <w:br/>
            </w:r>
            <w:r>
              <w:rPr>
                <w:sz w:val="14"/>
              </w:rPr>
              <w:t>Sanctions portant sur la protection des titres des institutions tertiaires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1</w:t>
            </w:r>
            <w:r>
              <w:t> Le non-respect de l’article 15 de la présente loi est passible d'une amende de 200'000 francs au plus si la personne concernée agit intentionnellement et de 100'000 francs au plus si elle agit par négligence, dans ses documents professionnels, dans des annonces de quelque nature que ce soit ou dans tout autre document destiné à ses relations privées ou professionnelles, prétend être titulaire d’un titre protégé sans l’avoir dûment obtenu, ou se sert d’un titre ou d’un grade en laissant faussement croire qu’il lui a été conféré.</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Pr>
                <w:vertAlign w:val="superscript"/>
              </w:rPr>
              <w:t>2</w:t>
            </w:r>
            <w:r>
              <w:t> Sont réservées les sanctions pénales prévues par le droit fédéral.</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vertAlign w:val="superscript"/>
              </w:rPr>
            </w:pPr>
          </w:p>
        </w:tc>
      </w:tr>
      <w:tr w:rsidR="00FD502E" w:rsidRPr="007651B1"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Pr="007651B1" w:rsidRDefault="00FD502E" w:rsidP="005E7218">
            <w:pPr>
              <w:pStyle w:val="TableContents"/>
            </w:pPr>
            <w:r w:rsidRPr="007651B1">
              <w:rPr>
                <w:b/>
                <w:bCs/>
              </w:rPr>
              <w:t>Art.  20</w:t>
            </w:r>
            <w:r w:rsidRPr="007651B1">
              <w:br/>
            </w:r>
            <w:r w:rsidRPr="007651B1">
              <w:rPr>
                <w:sz w:val="14"/>
              </w:rPr>
              <w:t>Sanctions portant sur l'activité sur le territoire cantonal des prestataires privés offrant des formations conduisant à l'obtention de diplômes de niveau haute école</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i/>
              </w:rPr>
            </w:pPr>
          </w:p>
        </w:tc>
      </w:tr>
      <w:tr w:rsidR="00FD502E" w:rsidRPr="007651B1" w:rsidTr="00012E14">
        <w:trPr>
          <w:cantSplit/>
        </w:trPr>
        <w:tc>
          <w:tcPr>
            <w:tcW w:w="8926" w:type="dxa"/>
            <w:tcBorders>
              <w:left w:val="single" w:sz="4" w:space="0" w:color="000000"/>
              <w:right w:val="single" w:sz="4" w:space="0" w:color="000000"/>
            </w:tcBorders>
            <w:shd w:val="clear" w:color="auto" w:fill="auto"/>
          </w:tcPr>
          <w:p w:rsidR="00FD502E" w:rsidRPr="007651B1" w:rsidRDefault="00FD502E" w:rsidP="005E7218">
            <w:pPr>
              <w:pStyle w:val="TableContents"/>
            </w:pPr>
            <w:r w:rsidRPr="007651B1">
              <w:rPr>
                <w:vertAlign w:val="superscript"/>
              </w:rPr>
              <w:t>1</w:t>
            </w:r>
            <w:r w:rsidRPr="007651B1">
              <w:t> Le non-respect de l’article 17 de la présente loi par un prestataire privé offrant des formations conduisant à l'obtention de diplômes de niveau haute école est passible de 200'000 francs au plus s’il agit intentionnellement et de 100'000 francs au plus s’il agit par négligence.</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i/>
                <w:vertAlign w:val="superscript"/>
              </w:rPr>
            </w:pPr>
          </w:p>
        </w:tc>
      </w:tr>
      <w:tr w:rsidR="00FD502E" w:rsidRPr="007651B1" w:rsidTr="00012E14">
        <w:trPr>
          <w:cantSplit/>
        </w:trPr>
        <w:tc>
          <w:tcPr>
            <w:tcW w:w="8926" w:type="dxa"/>
            <w:tcBorders>
              <w:left w:val="single" w:sz="4" w:space="0" w:color="000000"/>
              <w:right w:val="single" w:sz="4" w:space="0" w:color="000000"/>
            </w:tcBorders>
            <w:shd w:val="clear" w:color="auto" w:fill="auto"/>
          </w:tcPr>
          <w:p w:rsidR="00FD502E" w:rsidRDefault="00FD502E" w:rsidP="005E7218">
            <w:pPr>
              <w:pStyle w:val="TableContents"/>
            </w:pPr>
            <w:r w:rsidRPr="007651B1">
              <w:rPr>
                <w:vertAlign w:val="superscript"/>
              </w:rPr>
              <w:t>2</w:t>
            </w:r>
            <w:r w:rsidRPr="007651B1">
              <w:t> Sont réservées les sanctions pénales prévues par le droit fédéral.</w:t>
            </w:r>
          </w:p>
          <w:p w:rsidR="00FD502E" w:rsidRPr="007651B1" w:rsidRDefault="00FD502E" w:rsidP="005E7218">
            <w:pPr>
              <w:pStyle w:val="TableContents"/>
            </w:pP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i/>
                <w:vertAlign w:val="superscript"/>
              </w:rPr>
            </w:pPr>
          </w:p>
        </w:tc>
      </w:tr>
      <w:tr w:rsidR="00FD502E" w:rsidRPr="007651B1" w:rsidTr="00012E14">
        <w:tc>
          <w:tcPr>
            <w:tcW w:w="8926" w:type="dxa"/>
            <w:tcBorders>
              <w:top w:val="single" w:sz="4" w:space="0" w:color="000000"/>
              <w:left w:val="single" w:sz="4" w:space="0" w:color="000000"/>
              <w:right w:val="single" w:sz="4" w:space="0" w:color="000000"/>
            </w:tcBorders>
            <w:shd w:val="clear" w:color="auto" w:fill="auto"/>
          </w:tcPr>
          <w:p w:rsidR="00FD502E" w:rsidRPr="007651B1" w:rsidRDefault="00FD502E" w:rsidP="005E7218">
            <w:pPr>
              <w:pStyle w:val="TableContents"/>
            </w:pPr>
            <w:r w:rsidRPr="007651B1">
              <w:rPr>
                <w:b/>
                <w:bCs/>
                <w:sz w:val="22"/>
              </w:rPr>
              <w:t>6 Recours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i/>
              </w:rPr>
            </w:pPr>
          </w:p>
        </w:tc>
      </w:tr>
      <w:tr w:rsidR="00FD502E" w:rsidRPr="007651B1"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Pr="007651B1" w:rsidRDefault="00FD502E" w:rsidP="005E7218">
            <w:pPr>
              <w:pStyle w:val="TableContents"/>
            </w:pPr>
            <w:r w:rsidRPr="007651B1">
              <w:rPr>
                <w:b/>
                <w:bCs/>
              </w:rPr>
              <w:t>Art.  21</w:t>
            </w:r>
            <w:r w:rsidRPr="007651B1">
              <w:br/>
            </w:r>
            <w:r w:rsidRPr="007651B1">
              <w:rPr>
                <w:sz w:val="14"/>
              </w:rPr>
              <w:t>Recours contre des amendes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i/>
              </w:rPr>
            </w:pPr>
          </w:p>
        </w:tc>
      </w:tr>
      <w:tr w:rsidR="00FD502E" w:rsidRPr="007651B1" w:rsidTr="00012E14">
        <w:trPr>
          <w:cantSplit/>
        </w:trPr>
        <w:tc>
          <w:tcPr>
            <w:tcW w:w="8926" w:type="dxa"/>
            <w:tcBorders>
              <w:left w:val="single" w:sz="4" w:space="0" w:color="000000"/>
              <w:right w:val="single" w:sz="4" w:space="0" w:color="000000"/>
            </w:tcBorders>
            <w:shd w:val="clear" w:color="auto" w:fill="auto"/>
          </w:tcPr>
          <w:p w:rsidR="00FD502E" w:rsidRPr="007651B1" w:rsidRDefault="00FD502E" w:rsidP="005E7218">
            <w:pPr>
              <w:pStyle w:val="TableContents"/>
            </w:pPr>
            <w:r w:rsidRPr="007651B1">
              <w:rPr>
                <w:vertAlign w:val="superscript"/>
              </w:rPr>
              <w:t>1</w:t>
            </w:r>
            <w:r w:rsidRPr="007651B1">
              <w:t> Un recours au Tribunal cantonal peut être déposé contre les amendes prononcées en vertu de la présente loi et selon l'article 11 alinéa 3 LACPP.</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i/>
                <w:vertAlign w:val="superscript"/>
              </w:rPr>
            </w:pPr>
          </w:p>
        </w:tc>
      </w:tr>
      <w:tr w:rsidR="00FD502E" w:rsidRPr="007651B1" w:rsidTr="00012E14">
        <w:trPr>
          <w:cantSplit/>
        </w:trPr>
        <w:tc>
          <w:tcPr>
            <w:tcW w:w="8926" w:type="dxa"/>
            <w:tcBorders>
              <w:top w:val="single" w:sz="4" w:space="0" w:color="000000"/>
              <w:left w:val="single" w:sz="4" w:space="0" w:color="000000"/>
              <w:right w:val="single" w:sz="4" w:space="0" w:color="000000"/>
            </w:tcBorders>
            <w:shd w:val="clear" w:color="auto" w:fill="auto"/>
          </w:tcPr>
          <w:p w:rsidR="00FD502E" w:rsidRPr="007651B1" w:rsidRDefault="00FD502E" w:rsidP="005E7218">
            <w:pPr>
              <w:pStyle w:val="TableContents"/>
            </w:pPr>
            <w:r w:rsidRPr="007651B1">
              <w:rPr>
                <w:b/>
                <w:bCs/>
              </w:rPr>
              <w:t>Art.  22</w:t>
            </w:r>
            <w:r w:rsidRPr="007651B1">
              <w:br/>
            </w:r>
            <w:r w:rsidRPr="007651B1">
              <w:rPr>
                <w:sz w:val="14"/>
              </w:rPr>
              <w:t>Recours contre les autres décisions</w:t>
            </w:r>
          </w:p>
        </w:tc>
        <w:tc>
          <w:tcPr>
            <w:tcW w:w="5930" w:type="dxa"/>
            <w:tcBorders>
              <w:top w:val="single" w:sz="4" w:space="0" w:color="000000"/>
              <w:left w:val="single" w:sz="4" w:space="0" w:color="000000"/>
              <w:right w:val="single" w:sz="4" w:space="0" w:color="000000"/>
            </w:tcBorders>
            <w:vAlign w:val="center"/>
          </w:tcPr>
          <w:p w:rsidR="00FD502E" w:rsidRPr="00012E14" w:rsidRDefault="00FD502E" w:rsidP="00012E14">
            <w:pPr>
              <w:pStyle w:val="TableContents"/>
              <w:rPr>
                <w:rFonts w:cs="Arial"/>
                <w:b/>
                <w:bCs/>
                <w:i/>
              </w:rPr>
            </w:pPr>
          </w:p>
        </w:tc>
      </w:tr>
      <w:tr w:rsidR="00FD502E" w:rsidRPr="007651B1" w:rsidTr="00012E14">
        <w:trPr>
          <w:cantSplit/>
        </w:trPr>
        <w:tc>
          <w:tcPr>
            <w:tcW w:w="8926" w:type="dxa"/>
            <w:tcBorders>
              <w:left w:val="single" w:sz="4" w:space="0" w:color="000000"/>
              <w:right w:val="single" w:sz="4" w:space="0" w:color="000000"/>
            </w:tcBorders>
            <w:shd w:val="clear" w:color="auto" w:fill="auto"/>
          </w:tcPr>
          <w:p w:rsidR="00FD502E" w:rsidRPr="007651B1" w:rsidRDefault="00FD502E" w:rsidP="005E7218">
            <w:pPr>
              <w:pStyle w:val="TableContents"/>
            </w:pPr>
            <w:r w:rsidRPr="007651B1">
              <w:rPr>
                <w:vertAlign w:val="superscript"/>
              </w:rPr>
              <w:t>1</w:t>
            </w:r>
            <w:r w:rsidRPr="007651B1">
              <w:t> A l’exclusion des amendes, les décisions prises en vertu de la présente loi peuvent faire l'objet d'un recours auprès du Conseil d'Etat.</w:t>
            </w:r>
          </w:p>
        </w:tc>
        <w:tc>
          <w:tcPr>
            <w:tcW w:w="5930" w:type="dxa"/>
            <w:tcBorders>
              <w:left w:val="single" w:sz="4" w:space="0" w:color="000000"/>
              <w:right w:val="single" w:sz="4" w:space="0" w:color="000000"/>
            </w:tcBorders>
            <w:vAlign w:val="center"/>
          </w:tcPr>
          <w:p w:rsidR="00FD502E" w:rsidRPr="00012E14" w:rsidRDefault="00FD502E" w:rsidP="00012E14">
            <w:pPr>
              <w:pStyle w:val="TableContents"/>
              <w:rPr>
                <w:rFonts w:cs="Arial"/>
                <w:i/>
                <w:vertAlign w:val="superscript"/>
              </w:rPr>
            </w:pPr>
          </w:p>
        </w:tc>
      </w:tr>
      <w:tr w:rsidR="00FD502E" w:rsidRPr="007651B1" w:rsidTr="00DB5FD8">
        <w:trPr>
          <w:cantSplit/>
        </w:trPr>
        <w:tc>
          <w:tcPr>
            <w:tcW w:w="8926" w:type="dxa"/>
            <w:tcBorders>
              <w:left w:val="single" w:sz="4" w:space="0" w:color="000000"/>
              <w:right w:val="single" w:sz="4" w:space="0" w:color="000000"/>
            </w:tcBorders>
            <w:shd w:val="clear" w:color="auto" w:fill="auto"/>
          </w:tcPr>
          <w:p w:rsidR="00FD502E" w:rsidRPr="007651B1" w:rsidRDefault="00FD502E" w:rsidP="005E7218">
            <w:pPr>
              <w:pStyle w:val="TableContents"/>
            </w:pPr>
            <w:r w:rsidRPr="007651B1">
              <w:rPr>
                <w:vertAlign w:val="superscript"/>
              </w:rPr>
              <w:t>2</w:t>
            </w:r>
            <w:r w:rsidRPr="007651B1">
              <w:t> Les décisions du Conseil d'Etat peuvent être déférées au Tribunal cantonal.</w:t>
            </w:r>
          </w:p>
        </w:tc>
        <w:tc>
          <w:tcPr>
            <w:tcW w:w="5930" w:type="dxa"/>
            <w:tcBorders>
              <w:left w:val="single" w:sz="4" w:space="0" w:color="000000"/>
              <w:right w:val="single" w:sz="4" w:space="0" w:color="000000"/>
            </w:tcBorders>
          </w:tcPr>
          <w:p w:rsidR="00FD502E" w:rsidRPr="007651B1" w:rsidRDefault="00FD502E" w:rsidP="005E7218">
            <w:pPr>
              <w:pStyle w:val="TableContents"/>
              <w:rPr>
                <w:i/>
                <w:vertAlign w:val="superscript"/>
              </w:rPr>
            </w:pPr>
          </w:p>
        </w:tc>
      </w:tr>
      <w:tr w:rsidR="00FD502E" w:rsidRPr="007651B1" w:rsidTr="00DB5FD8">
        <w:trPr>
          <w:cantSplit/>
        </w:trPr>
        <w:tc>
          <w:tcPr>
            <w:tcW w:w="8926" w:type="dxa"/>
            <w:tcBorders>
              <w:left w:val="single" w:sz="4" w:space="0" w:color="000000"/>
              <w:bottom w:val="single" w:sz="4" w:space="0" w:color="auto"/>
              <w:right w:val="single" w:sz="4" w:space="0" w:color="000000"/>
            </w:tcBorders>
            <w:shd w:val="clear" w:color="auto" w:fill="auto"/>
          </w:tcPr>
          <w:p w:rsidR="00FD502E" w:rsidRPr="007651B1" w:rsidRDefault="00FD502E" w:rsidP="005E7218">
            <w:pPr>
              <w:pStyle w:val="TableContents"/>
            </w:pPr>
            <w:r w:rsidRPr="007651B1">
              <w:rPr>
                <w:vertAlign w:val="superscript"/>
              </w:rPr>
              <w:t>3</w:t>
            </w:r>
            <w:r w:rsidRPr="007651B1">
              <w:t> La LPJA règle les procédures.</w:t>
            </w:r>
          </w:p>
        </w:tc>
        <w:tc>
          <w:tcPr>
            <w:tcW w:w="5930" w:type="dxa"/>
            <w:tcBorders>
              <w:left w:val="single" w:sz="4" w:space="0" w:color="000000"/>
              <w:bottom w:val="single" w:sz="4" w:space="0" w:color="auto"/>
              <w:right w:val="single" w:sz="4" w:space="0" w:color="000000"/>
            </w:tcBorders>
          </w:tcPr>
          <w:p w:rsidR="00FD502E" w:rsidRPr="007651B1" w:rsidRDefault="00FD502E" w:rsidP="005E7218">
            <w:pPr>
              <w:pStyle w:val="TableContents"/>
              <w:rPr>
                <w:i/>
                <w:vertAlign w:val="superscript"/>
              </w:rPr>
            </w:pPr>
          </w:p>
        </w:tc>
      </w:tr>
    </w:tbl>
    <w:p w:rsidR="00F71EBF" w:rsidRDefault="00F71EBF">
      <w:pPr>
        <w:rPr>
          <w:lang w:val="de-CH"/>
        </w:rPr>
      </w:pPr>
    </w:p>
    <w:p w:rsidR="00F71EBF" w:rsidRDefault="00F71EBF">
      <w:pPr>
        <w:rPr>
          <w:lang w:val="de-CH"/>
        </w:rPr>
      </w:pPr>
    </w:p>
    <w:sectPr w:rsidR="00F71EBF" w:rsidSect="008D2DFE">
      <w:headerReference w:type="even" r:id="rId9"/>
      <w:headerReference w:type="default" r:id="rId10"/>
      <w:headerReference w:type="first" r:id="rId11"/>
      <w:footnotePr>
        <w:numRestart w:val="eachPage"/>
      </w:footnotePr>
      <w:pgSz w:w="16838" w:h="11906" w:orient="landscape"/>
      <w:pgMar w:top="709" w:right="850" w:bottom="284" w:left="1134" w:header="426"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CD" w:rsidRDefault="00E061CD">
      <w:r>
        <w:separator/>
      </w:r>
    </w:p>
  </w:endnote>
  <w:endnote w:type="continuationSeparator" w:id="0">
    <w:p w:rsidR="00E061CD" w:rsidRDefault="00E0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CD" w:rsidRDefault="00E061CD">
      <w:r>
        <w:separator/>
      </w:r>
    </w:p>
  </w:footnote>
  <w:footnote w:type="continuationSeparator" w:id="0">
    <w:p w:rsidR="00E061CD" w:rsidRDefault="00E0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47F26">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847F26">
      <w:rPr>
        <w:noProof/>
        <w:sz w:val="16"/>
      </w:rPr>
      <w:t>11</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7E" w:rsidRDefault="00FF1B7E">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6819"/>
    <w:multiLevelType w:val="hybridMultilevel"/>
    <w:tmpl w:val="A2B0AA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B778D2"/>
    <w:multiLevelType w:val="hybridMultilevel"/>
    <w:tmpl w:val="C6CE602E"/>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58"/>
    <w:rsid w:val="00012E14"/>
    <w:rsid w:val="00034AB0"/>
    <w:rsid w:val="00075D84"/>
    <w:rsid w:val="00085046"/>
    <w:rsid w:val="000B7E20"/>
    <w:rsid w:val="000D0763"/>
    <w:rsid w:val="000E52AF"/>
    <w:rsid w:val="00180E74"/>
    <w:rsid w:val="001E790B"/>
    <w:rsid w:val="00293141"/>
    <w:rsid w:val="00355905"/>
    <w:rsid w:val="00362D68"/>
    <w:rsid w:val="003B12D8"/>
    <w:rsid w:val="003C7EDD"/>
    <w:rsid w:val="00466DED"/>
    <w:rsid w:val="00490E7B"/>
    <w:rsid w:val="004F5EAF"/>
    <w:rsid w:val="00517219"/>
    <w:rsid w:val="00536328"/>
    <w:rsid w:val="005E367B"/>
    <w:rsid w:val="0065007B"/>
    <w:rsid w:val="006611AF"/>
    <w:rsid w:val="00670412"/>
    <w:rsid w:val="00675F13"/>
    <w:rsid w:val="006D1D71"/>
    <w:rsid w:val="007C32CE"/>
    <w:rsid w:val="007F6C58"/>
    <w:rsid w:val="0084010E"/>
    <w:rsid w:val="00847F26"/>
    <w:rsid w:val="008B5436"/>
    <w:rsid w:val="008D2DFE"/>
    <w:rsid w:val="00957727"/>
    <w:rsid w:val="00965A9F"/>
    <w:rsid w:val="00987427"/>
    <w:rsid w:val="00AA108B"/>
    <w:rsid w:val="00AA5959"/>
    <w:rsid w:val="00AF6956"/>
    <w:rsid w:val="00B133A3"/>
    <w:rsid w:val="00B5718E"/>
    <w:rsid w:val="00BE6677"/>
    <w:rsid w:val="00CF153F"/>
    <w:rsid w:val="00DB5FD8"/>
    <w:rsid w:val="00E061CD"/>
    <w:rsid w:val="00E17ED5"/>
    <w:rsid w:val="00EA7D0A"/>
    <w:rsid w:val="00EB084D"/>
    <w:rsid w:val="00F71EBF"/>
    <w:rsid w:val="00FD502E"/>
    <w:rsid w:val="00FF1B7E"/>
    <w:rsid w:val="00FF344E"/>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DC6AA70-9305-42D4-880D-79CD7E2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table" w:styleId="Grilledutableau">
    <w:name w:val="Table Grid"/>
    <w:basedOn w:val="TableauNormal"/>
    <w:uiPriority w:val="39"/>
    <w:rsid w:val="00F7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EBF"/>
    <w:pPr>
      <w:ind w:left="720"/>
      <w:contextualSpacing/>
    </w:pPr>
  </w:style>
  <w:style w:type="character" w:customStyle="1" w:styleId="textcontent">
    <w:name w:val="text_content"/>
    <w:basedOn w:val="Policepardfaut"/>
    <w:rsid w:val="008D2DFE"/>
  </w:style>
  <w:style w:type="character" w:styleId="Textedelespacerserv">
    <w:name w:val="Placeholder Text"/>
    <w:basedOn w:val="Policepardfaut"/>
    <w:uiPriority w:val="99"/>
    <w:semiHidden/>
    <w:rsid w:val="00B5718E"/>
    <w:rPr>
      <w:color w:val="808080"/>
    </w:rPr>
  </w:style>
  <w:style w:type="character" w:customStyle="1" w:styleId="Formatvorlage1">
    <w:name w:val="Formatvorlage1"/>
    <w:basedOn w:val="Policepardfaut"/>
    <w:uiPriority w:val="1"/>
    <w:rsid w:val="00B5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20328">
      <w:bodyDiv w:val="1"/>
      <w:marLeft w:val="0"/>
      <w:marRight w:val="0"/>
      <w:marTop w:val="0"/>
      <w:marBottom w:val="0"/>
      <w:divBdr>
        <w:top w:val="none" w:sz="0" w:space="0" w:color="auto"/>
        <w:left w:val="none" w:sz="0" w:space="0" w:color="auto"/>
        <w:bottom w:val="none" w:sz="0" w:space="0" w:color="auto"/>
        <w:right w:val="none" w:sz="0" w:space="0" w:color="auto"/>
      </w:divBdr>
    </w:div>
    <w:div w:id="145786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elgap\AppData\Roaming\OpenText\OTEdit\EC_ecm2\c35291636\she%40admin.vs.c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9C5D36065042468206C65C6FBCB978"/>
        <w:category>
          <w:name w:val="Général"/>
          <w:gallery w:val="placeholder"/>
        </w:category>
        <w:types>
          <w:type w:val="bbPlcHdr"/>
        </w:types>
        <w:behaviors>
          <w:behavior w:val="content"/>
        </w:behaviors>
        <w:guid w:val="{DEA60FBB-9BAD-4ACB-9245-DAC5A3A1D77B}"/>
      </w:docPartPr>
      <w:docPartBody>
        <w:p w:rsidR="00B76840" w:rsidRDefault="008138AB" w:rsidP="008138AB">
          <w:pPr>
            <w:pStyle w:val="899C5D36065042468206C65C6FBCB978"/>
          </w:pPr>
          <w:r w:rsidRPr="007B14F2">
            <w:rPr>
              <w:rStyle w:val="Textedelespacerserv"/>
            </w:rPr>
            <w:t xml:space="preserve">Explications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B"/>
    <w:rsid w:val="0038415E"/>
    <w:rsid w:val="00443531"/>
    <w:rsid w:val="006B6356"/>
    <w:rsid w:val="008138AB"/>
    <w:rsid w:val="00890D13"/>
    <w:rsid w:val="00B768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38AB"/>
    <w:rPr>
      <w:color w:val="808080"/>
    </w:rPr>
  </w:style>
  <w:style w:type="paragraph" w:customStyle="1" w:styleId="899C5D36065042468206C65C6FBCB978">
    <w:name w:val="899C5D36065042468206C65C6FBCB978"/>
    <w:rsid w:val="00813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2666</Words>
  <Characters>14669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GC/GR-2019-048</vt:lpstr>
    </vt:vector>
  </TitlesOfParts>
  <Company>Etat du Valais - Staat Wallis</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GC/GR-2019-048</dc:title>
  <dc:subject/>
  <dc:creator>Andre FISCHER</dc:creator>
  <cp:keywords/>
  <cp:lastModifiedBy>Andre FISCHER</cp:lastModifiedBy>
  <cp:revision>20</cp:revision>
  <cp:lastPrinted>1899-12-31T23:00:00Z</cp:lastPrinted>
  <dcterms:created xsi:type="dcterms:W3CDTF">2020-04-19T15:38:00Z</dcterms:created>
  <dcterms:modified xsi:type="dcterms:W3CDTF">2023-08-29T11:04:00Z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