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8579A" w14:textId="77777777" w:rsidR="00542460" w:rsidRDefault="008E3F30">
      <w:pPr>
        <w:rPr>
          <w:vanish/>
          <w:sz w:val="6"/>
        </w:rPr>
      </w:pPr>
      <w:r w:rsidRPr="008E3F30">
        <w:rPr>
          <w:noProof/>
          <w:sz w:val="6"/>
          <w:lang w:val="fr-CH"/>
        </w:rPr>
        <w:drawing>
          <wp:inline distT="0" distB="0" distL="0" distR="0" wp14:anchorId="3456CD0D" wp14:editId="0105318F">
            <wp:extent cx="3641697" cy="140431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6914" cy="1414039"/>
                    </a:xfrm>
                    <a:prstGeom prst="rect">
                      <a:avLst/>
                    </a:prstGeom>
                  </pic:spPr>
                </pic:pic>
              </a:graphicData>
            </a:graphic>
          </wp:inline>
        </w:drawing>
      </w:r>
    </w:p>
    <w:p w14:paraId="4C158364" w14:textId="77777777" w:rsidR="00542460" w:rsidRDefault="00542460"/>
    <w:p w14:paraId="705E6200" w14:textId="77777777" w:rsidR="00EE78CC" w:rsidRDefault="00EE78CC" w:rsidP="008E3F30">
      <w:pPr>
        <w:rPr>
          <w:b/>
          <w:sz w:val="32"/>
        </w:rPr>
      </w:pPr>
    </w:p>
    <w:p w14:paraId="6FE28F8F" w14:textId="77777777" w:rsidR="00EE78CC" w:rsidRDefault="00A42B08" w:rsidP="00A42B08">
      <w:pPr>
        <w:jc w:val="center"/>
        <w:rPr>
          <w:b/>
          <w:sz w:val="32"/>
        </w:rPr>
      </w:pPr>
      <w:r>
        <w:rPr>
          <w:b/>
          <w:sz w:val="32"/>
        </w:rPr>
        <w:t>F</w:t>
      </w:r>
      <w:r w:rsidR="00593AAC" w:rsidRPr="00593AAC">
        <w:rPr>
          <w:b/>
          <w:sz w:val="32"/>
        </w:rPr>
        <w:t xml:space="preserve">ormular </w:t>
      </w:r>
      <w:r w:rsidR="00CB64FB">
        <w:rPr>
          <w:b/>
          <w:sz w:val="32"/>
        </w:rPr>
        <w:t xml:space="preserve">für die Vernehmlassung - </w:t>
      </w:r>
      <w:r w:rsidR="005113FE">
        <w:rPr>
          <w:b/>
          <w:sz w:val="32"/>
        </w:rPr>
        <w:t>Vorentwurf zur</w:t>
      </w:r>
      <w:r w:rsidR="00593AAC">
        <w:rPr>
          <w:b/>
          <w:sz w:val="32"/>
        </w:rPr>
        <w:t xml:space="preserve"> </w:t>
      </w:r>
      <w:r w:rsidR="005113FE">
        <w:rPr>
          <w:b/>
          <w:sz w:val="32"/>
        </w:rPr>
        <w:t xml:space="preserve">Teilrevision des Gesetzes zur </w:t>
      </w:r>
      <w:r w:rsidR="00593AAC" w:rsidRPr="00593AAC">
        <w:rPr>
          <w:b/>
          <w:sz w:val="32"/>
        </w:rPr>
        <w:t>Standortbestimmung und Beteiligung der Standortgemeinden für die kantonalen Schul</w:t>
      </w:r>
      <w:r w:rsidR="005113FE">
        <w:rPr>
          <w:b/>
          <w:sz w:val="32"/>
        </w:rPr>
        <w:t>en der tertiären Stufe</w:t>
      </w:r>
      <w:r w:rsidR="00593AAC" w:rsidRPr="00593AAC">
        <w:rPr>
          <w:b/>
          <w:sz w:val="32"/>
        </w:rPr>
        <w:t>.</w:t>
      </w:r>
    </w:p>
    <w:p w14:paraId="61AA6100" w14:textId="77777777" w:rsidR="00EE78CC" w:rsidRDefault="00EE78CC" w:rsidP="00EE78CC">
      <w:pPr>
        <w:jc w:val="center"/>
        <w:rPr>
          <w:b/>
          <w:sz w:val="36"/>
        </w:rPr>
      </w:pPr>
    </w:p>
    <w:p w14:paraId="6058272C" w14:textId="65D95F32" w:rsidR="008E3F30" w:rsidRDefault="00A42B08" w:rsidP="008E3F30">
      <w:pPr>
        <w:jc w:val="center"/>
        <w:rPr>
          <w:sz w:val="24"/>
        </w:rPr>
      </w:pPr>
      <w:r>
        <w:rPr>
          <w:sz w:val="24"/>
        </w:rPr>
        <w:t>Bis spätestens am</w:t>
      </w:r>
      <w:r w:rsidR="008E3F30" w:rsidRPr="001509F1">
        <w:rPr>
          <w:sz w:val="24"/>
        </w:rPr>
        <w:t xml:space="preserve"> </w:t>
      </w:r>
      <w:r w:rsidR="00D77817">
        <w:rPr>
          <w:sz w:val="24"/>
        </w:rPr>
        <w:t xml:space="preserve">Freitag, den </w:t>
      </w:r>
      <w:r w:rsidR="00804848">
        <w:rPr>
          <w:sz w:val="24"/>
        </w:rPr>
        <w:t>29</w:t>
      </w:r>
      <w:bookmarkStart w:id="0" w:name="_GoBack"/>
      <w:bookmarkEnd w:id="0"/>
      <w:r w:rsidR="00E376A3">
        <w:rPr>
          <w:sz w:val="24"/>
        </w:rPr>
        <w:t>. Juni 2020</w:t>
      </w:r>
      <w:r>
        <w:rPr>
          <w:sz w:val="24"/>
        </w:rPr>
        <w:t xml:space="preserve"> einzureichen</w:t>
      </w:r>
    </w:p>
    <w:p w14:paraId="30E3AB96" w14:textId="77777777" w:rsidR="008E3F30" w:rsidRPr="001509F1" w:rsidRDefault="008E3F30" w:rsidP="008E3F30">
      <w:pPr>
        <w:jc w:val="center"/>
      </w:pPr>
    </w:p>
    <w:p w14:paraId="293A62D9" w14:textId="77777777" w:rsidR="008E3F30" w:rsidRPr="001509F1" w:rsidRDefault="008E3F30" w:rsidP="008E3F30">
      <w:pPr>
        <w:jc w:val="center"/>
      </w:pPr>
      <w:r>
        <w:t>P</w:t>
      </w:r>
      <w:r w:rsidRPr="001509F1">
        <w:t xml:space="preserve">er E-Mail an </w:t>
      </w:r>
      <w:hyperlink r:id="rId8" w:history="1">
        <w:r w:rsidRPr="00A12655">
          <w:rPr>
            <w:rStyle w:val="Lienhypertexte"/>
          </w:rPr>
          <w:t>she@admin.vs.ch</w:t>
        </w:r>
      </w:hyperlink>
      <w:r>
        <w:rPr>
          <w:rStyle w:val="Lienhypertexte"/>
          <w:color w:val="auto"/>
          <w:u w:val="none"/>
        </w:rPr>
        <w:t xml:space="preserve"> oder </w:t>
      </w:r>
      <w:r>
        <w:t>p</w:t>
      </w:r>
      <w:r w:rsidRPr="00757C2A">
        <w:t>er</w:t>
      </w:r>
      <w:r w:rsidRPr="001509F1">
        <w:t xml:space="preserve"> Post</w:t>
      </w:r>
      <w:r>
        <w:br/>
      </w:r>
      <w:r w:rsidR="00A42B08">
        <w:t xml:space="preserve"> an die </w:t>
      </w:r>
      <w:r w:rsidRPr="001509F1">
        <w:t xml:space="preserve">Dienststelle für </w:t>
      </w:r>
      <w:r w:rsidR="005F7275">
        <w:t>Ho</w:t>
      </w:r>
      <w:r w:rsidR="00593AAC">
        <w:t xml:space="preserve">chschulwesen, Rue de Conthey 19, 1950 </w:t>
      </w:r>
      <w:r>
        <w:t>Sitten</w:t>
      </w:r>
    </w:p>
    <w:p w14:paraId="3FEEF201" w14:textId="77777777" w:rsidR="00EE78CC" w:rsidRDefault="00EE78CC" w:rsidP="00EE78CC">
      <w:pPr>
        <w:jc w:val="center"/>
      </w:pPr>
      <w:r>
        <w:br/>
      </w:r>
    </w:p>
    <w:p w14:paraId="4CC6DBAA" w14:textId="77777777" w:rsidR="00EE78CC" w:rsidRDefault="00EE78CC" w:rsidP="00EE78CC">
      <w:pPr>
        <w:jc w:val="center"/>
      </w:pPr>
    </w:p>
    <w:p w14:paraId="03E5F7A8" w14:textId="77777777" w:rsidR="00EE78CC" w:rsidRDefault="00EE78CC" w:rsidP="00EE78CC">
      <w:pPr>
        <w:jc w:val="center"/>
      </w:pPr>
    </w:p>
    <w:tbl>
      <w:tblPr>
        <w:tblStyle w:val="Grilledutableau"/>
        <w:tblpPr w:leftFromText="141" w:rightFromText="141" w:vertAnchor="page" w:horzAnchor="margin" w:tblpXSpec="center" w:tblpY="6481"/>
        <w:tblW w:w="0" w:type="auto"/>
        <w:tblLook w:val="04A0" w:firstRow="1" w:lastRow="0" w:firstColumn="1" w:lastColumn="0" w:noHBand="0" w:noVBand="1"/>
      </w:tblPr>
      <w:tblGrid>
        <w:gridCol w:w="2627"/>
        <w:gridCol w:w="4320"/>
      </w:tblGrid>
      <w:tr w:rsidR="008E3F30" w:rsidRPr="00B827CA" w14:paraId="11913992" w14:textId="77777777" w:rsidTr="00EA25BF">
        <w:trPr>
          <w:trHeight w:val="557"/>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85A94EA" w14:textId="77777777" w:rsidR="008E3F30" w:rsidRPr="00B827CA" w:rsidRDefault="008E3F30" w:rsidP="00EA25BF">
            <w:r>
              <w:t xml:space="preserve">Name </w:t>
            </w:r>
            <w:r w:rsidR="00A42B08">
              <w:t>der Organisation</w:t>
            </w:r>
            <w:r w:rsidRPr="00B827CA">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60FA748" w14:textId="77777777" w:rsidR="008E3F30" w:rsidRPr="00B827CA" w:rsidRDefault="008E3F30" w:rsidP="00EA25BF"/>
        </w:tc>
      </w:tr>
      <w:tr w:rsidR="008E3F30" w14:paraId="14A66498" w14:textId="77777777" w:rsidTr="00EA25BF">
        <w:trPr>
          <w:trHeight w:val="557"/>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B5A434D" w14:textId="77777777" w:rsidR="008E3F30" w:rsidRPr="00B827CA" w:rsidRDefault="008E3F30" w:rsidP="00EA25BF">
            <w:r>
              <w:t>Kontaktperson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0D4895C" w14:textId="77777777" w:rsidR="008E3F30" w:rsidRPr="00B827CA" w:rsidRDefault="008E3F30" w:rsidP="00EA25BF"/>
        </w:tc>
      </w:tr>
      <w:tr w:rsidR="008E3F30" w14:paraId="64434EAB" w14:textId="77777777" w:rsidTr="00EA25BF">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E6DCA59" w14:textId="77777777" w:rsidR="008E3F30" w:rsidRDefault="00A42B08" w:rsidP="00EA25BF">
            <w:r>
              <w:t>Adresse</w:t>
            </w:r>
            <w:r w:rsidR="008E3F30">
              <w:t>:</w:t>
            </w:r>
          </w:p>
          <w:p w14:paraId="64F89BD6" w14:textId="77777777" w:rsidR="008E3F30" w:rsidRDefault="008E3F30" w:rsidP="00EA25BF"/>
          <w:p w14:paraId="307F42F9" w14:textId="77777777" w:rsidR="008E3F30" w:rsidRDefault="008E3F30" w:rsidP="00EA25BF"/>
          <w:p w14:paraId="1D392952" w14:textId="77777777" w:rsidR="008E3F30" w:rsidRDefault="008E3F30" w:rsidP="00EA25BF"/>
          <w:p w14:paraId="34F2E09E" w14:textId="77777777" w:rsidR="008E3F30" w:rsidRPr="00B827CA" w:rsidRDefault="008E3F30" w:rsidP="00EA25BF"/>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49FDF38" w14:textId="77777777" w:rsidR="008E3F30" w:rsidRPr="00B827CA" w:rsidRDefault="008E3F30" w:rsidP="00EA25BF"/>
        </w:tc>
      </w:tr>
      <w:tr w:rsidR="008E3F30" w14:paraId="15CF9E05" w14:textId="77777777" w:rsidTr="00EA25BF">
        <w:trPr>
          <w:trHeight w:val="537"/>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52DE279" w14:textId="77777777" w:rsidR="008E3F30" w:rsidRPr="00B827CA" w:rsidRDefault="008E3F30" w:rsidP="00EA25BF">
            <w:r>
              <w:t>Telefonnummer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C55E218" w14:textId="77777777" w:rsidR="008E3F30" w:rsidRPr="00B827CA" w:rsidRDefault="008E3F30" w:rsidP="00EA25BF"/>
        </w:tc>
      </w:tr>
      <w:tr w:rsidR="008E3F30" w14:paraId="775CB1A2" w14:textId="77777777" w:rsidTr="00EA25BF">
        <w:trPr>
          <w:trHeight w:val="686"/>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EDDD7D" w14:textId="77777777" w:rsidR="008E3F30" w:rsidRPr="00B827CA" w:rsidRDefault="008E3F30" w:rsidP="00EA25BF">
            <w:r>
              <w:t>Datum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856DCAD" w14:textId="77777777" w:rsidR="008E3F30" w:rsidRPr="00B827CA" w:rsidRDefault="008E3F30" w:rsidP="00EA25BF"/>
        </w:tc>
      </w:tr>
    </w:tbl>
    <w:p w14:paraId="3A179D6C" w14:textId="77777777" w:rsidR="00EE78CC" w:rsidRPr="00B827CA" w:rsidRDefault="00EE78CC" w:rsidP="00EE78CC"/>
    <w:p w14:paraId="36FEFE98" w14:textId="77777777" w:rsidR="00EE78CC" w:rsidRDefault="00EE78CC" w:rsidP="00EE78CC">
      <w:pPr>
        <w:rPr>
          <w:sz w:val="24"/>
        </w:rPr>
      </w:pPr>
    </w:p>
    <w:p w14:paraId="6F79D632" w14:textId="77777777" w:rsidR="00EE78CC" w:rsidRPr="00E97975" w:rsidRDefault="00EE78CC" w:rsidP="00EE78CC">
      <w:pPr>
        <w:rPr>
          <w:sz w:val="24"/>
        </w:rPr>
      </w:pPr>
    </w:p>
    <w:p w14:paraId="301B3938" w14:textId="77777777" w:rsidR="00EE78CC" w:rsidRDefault="00EE78CC">
      <w:r>
        <w:br w:type="page"/>
      </w:r>
    </w:p>
    <w:p w14:paraId="1F6EF954" w14:textId="77777777" w:rsidR="00542460" w:rsidRPr="008E3F30" w:rsidRDefault="008E3F30" w:rsidP="008E3F30">
      <w:pPr>
        <w:rPr>
          <w:b/>
          <w:bCs/>
          <w:sz w:val="22"/>
        </w:rPr>
      </w:pPr>
      <w:r>
        <w:rPr>
          <w:b/>
          <w:bCs/>
          <w:sz w:val="22"/>
        </w:rPr>
        <w:lastRenderedPageBreak/>
        <w:t xml:space="preserve">1. </w:t>
      </w:r>
      <w:r w:rsidRPr="008E3F30">
        <w:rPr>
          <w:b/>
          <w:bCs/>
          <w:sz w:val="22"/>
        </w:rPr>
        <w:t>Synoptische Übersicht nach Artikel</w:t>
      </w:r>
    </w:p>
    <w:p w14:paraId="7F5FD923" w14:textId="77777777" w:rsidR="00EE78CC" w:rsidRDefault="00EE78CC"/>
    <w:tbl>
      <w:tblPr>
        <w:tblW w:w="14854" w:type="dxa"/>
        <w:tblInd w:w="108" w:type="dxa"/>
        <w:tblLayout w:type="fixed"/>
        <w:tblCellMar>
          <w:top w:w="108" w:type="dxa"/>
          <w:bottom w:w="108" w:type="dxa"/>
        </w:tblCellMar>
        <w:tblLook w:val="0000" w:firstRow="0" w:lastRow="0" w:firstColumn="0" w:lastColumn="0" w:noHBand="0" w:noVBand="0"/>
      </w:tblPr>
      <w:tblGrid>
        <w:gridCol w:w="4849"/>
        <w:gridCol w:w="5811"/>
        <w:gridCol w:w="4194"/>
      </w:tblGrid>
      <w:tr w:rsidR="008E3F30" w14:paraId="49A373BC" w14:textId="77777777" w:rsidTr="002F0CD7">
        <w:trPr>
          <w:tblHeader/>
        </w:trPr>
        <w:tc>
          <w:tcPr>
            <w:tcW w:w="4849" w:type="dxa"/>
            <w:tcBorders>
              <w:top w:val="single" w:sz="4" w:space="0" w:color="000000"/>
              <w:left w:val="single" w:sz="4" w:space="0" w:color="000000"/>
              <w:bottom w:val="single" w:sz="4" w:space="0" w:color="000000"/>
            </w:tcBorders>
            <w:shd w:val="clear" w:color="auto" w:fill="E0E0E0"/>
            <w:vAlign w:val="center"/>
          </w:tcPr>
          <w:p w14:paraId="1B1A1AD0" w14:textId="77777777" w:rsidR="008E3F30" w:rsidRDefault="008E3F30" w:rsidP="008E3F30">
            <w:pPr>
              <w:pStyle w:val="TableContents"/>
            </w:pPr>
            <w:r>
              <w:rPr>
                <w:b/>
                <w:sz w:val="22"/>
              </w:rPr>
              <w:t>Geltendes Recht</w:t>
            </w:r>
          </w:p>
        </w:tc>
        <w:tc>
          <w:tcPr>
            <w:tcW w:w="5811" w:type="dxa"/>
            <w:tcBorders>
              <w:top w:val="single" w:sz="4" w:space="0" w:color="000000"/>
              <w:left w:val="single" w:sz="4" w:space="0" w:color="000000"/>
              <w:bottom w:val="single" w:sz="4" w:space="0" w:color="000000"/>
            </w:tcBorders>
            <w:shd w:val="clear" w:color="auto" w:fill="E0E0E0"/>
            <w:vAlign w:val="center"/>
          </w:tcPr>
          <w:p w14:paraId="53836438" w14:textId="77777777" w:rsidR="008E3F30" w:rsidRDefault="008E3F30" w:rsidP="008E3F30">
            <w:pPr>
              <w:pStyle w:val="TableContents"/>
            </w:pPr>
            <w:r>
              <w:rPr>
                <w:b/>
                <w:sz w:val="22"/>
              </w:rPr>
              <w:t>Gesetzliche Vorentwurf</w:t>
            </w:r>
          </w:p>
        </w:tc>
        <w:tc>
          <w:tcPr>
            <w:tcW w:w="419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2A89D32" w14:textId="77777777" w:rsidR="008E3F30" w:rsidRDefault="008E3F30" w:rsidP="008E3F30">
            <w:pPr>
              <w:pStyle w:val="TableContents"/>
            </w:pPr>
            <w:r>
              <w:rPr>
                <w:b/>
                <w:sz w:val="22"/>
              </w:rPr>
              <w:t>     Kommentaren / Bemerkungen</w:t>
            </w:r>
          </w:p>
        </w:tc>
      </w:tr>
      <w:tr w:rsidR="00A72861" w14:paraId="2FBC89F8" w14:textId="77777777" w:rsidTr="002F0CD7">
        <w:tc>
          <w:tcPr>
            <w:tcW w:w="4849" w:type="dxa"/>
            <w:tcBorders>
              <w:top w:val="single" w:sz="4" w:space="0" w:color="000000"/>
              <w:left w:val="single" w:sz="4" w:space="0" w:color="000000"/>
            </w:tcBorders>
            <w:shd w:val="clear" w:color="auto" w:fill="auto"/>
          </w:tcPr>
          <w:p w14:paraId="1E9BD4C8" w14:textId="77777777" w:rsidR="00A72861" w:rsidRDefault="00A72861" w:rsidP="00A72861">
            <w:pPr>
              <w:pStyle w:val="TableContents"/>
            </w:pPr>
            <w:r>
              <w:rPr>
                <w:b/>
                <w:bCs/>
                <w:sz w:val="22"/>
              </w:rPr>
              <w:t>Gesetz zur Standortbestimmung und Beteiligung der Standortgemeinden für die kantonalen Schulen der tertiären Stufe</w:t>
            </w:r>
          </w:p>
        </w:tc>
        <w:tc>
          <w:tcPr>
            <w:tcW w:w="5811" w:type="dxa"/>
            <w:tcBorders>
              <w:top w:val="single" w:sz="4" w:space="0" w:color="000000"/>
              <w:left w:val="single" w:sz="4" w:space="0" w:color="000000"/>
            </w:tcBorders>
            <w:shd w:val="clear" w:color="auto" w:fill="auto"/>
          </w:tcPr>
          <w:p w14:paraId="6D95E0AD" w14:textId="77777777" w:rsidR="00FA1B4E" w:rsidRPr="00FA1B4E" w:rsidRDefault="00FA1B4E" w:rsidP="00FA1B4E">
            <w:pPr>
              <w:pStyle w:val="TableContents"/>
              <w:rPr>
                <w:b/>
                <w:bCs/>
                <w:sz w:val="22"/>
              </w:rPr>
            </w:pPr>
            <w:r w:rsidRPr="00FA1B4E">
              <w:rPr>
                <w:b/>
                <w:bCs/>
                <w:sz w:val="22"/>
              </w:rPr>
              <w:t>Gesetz</w:t>
            </w:r>
          </w:p>
          <w:p w14:paraId="5B3EBC32" w14:textId="29D950F3" w:rsidR="00A72861" w:rsidRDefault="00FA1B4E" w:rsidP="00FA1B4E">
            <w:pPr>
              <w:pStyle w:val="TableContents"/>
            </w:pPr>
            <w:r w:rsidRPr="00FA1B4E">
              <w:rPr>
                <w:b/>
                <w:bCs/>
                <w:sz w:val="22"/>
              </w:rPr>
              <w:t>zur Bestimmung des Standorts von kantonalen Bildungs- und Forschungseinrichtungen der Tertiärstufe und der Beteiligung der Standortgemeinden</w:t>
            </w:r>
          </w:p>
        </w:tc>
        <w:tc>
          <w:tcPr>
            <w:tcW w:w="4194" w:type="dxa"/>
            <w:tcBorders>
              <w:top w:val="single" w:sz="4" w:space="0" w:color="000000"/>
              <w:left w:val="single" w:sz="4" w:space="0" w:color="000000"/>
              <w:right w:val="single" w:sz="4" w:space="0" w:color="000000"/>
            </w:tcBorders>
            <w:shd w:val="clear" w:color="auto" w:fill="auto"/>
          </w:tcPr>
          <w:p w14:paraId="10C6A535" w14:textId="77777777" w:rsidR="00A72861" w:rsidRDefault="00A72861" w:rsidP="00A72861"/>
        </w:tc>
      </w:tr>
      <w:tr w:rsidR="00A72861" w14:paraId="05C4B470" w14:textId="77777777" w:rsidTr="002F0CD7">
        <w:trPr>
          <w:cantSplit/>
        </w:trPr>
        <w:tc>
          <w:tcPr>
            <w:tcW w:w="4849" w:type="dxa"/>
            <w:tcBorders>
              <w:top w:val="single" w:sz="4" w:space="0" w:color="000000"/>
              <w:left w:val="single" w:sz="4" w:space="0" w:color="000000"/>
            </w:tcBorders>
            <w:shd w:val="clear" w:color="auto" w:fill="auto"/>
          </w:tcPr>
          <w:p w14:paraId="6F05ACE8" w14:textId="77777777" w:rsidR="00A72861" w:rsidRDefault="00A72861" w:rsidP="00A72861">
            <w:pPr>
              <w:pStyle w:val="TableContents"/>
            </w:pPr>
            <w:r>
              <w:rPr>
                <w:b/>
                <w:bCs/>
              </w:rPr>
              <w:t>Art.  1</w:t>
            </w:r>
            <w:r>
              <w:br/>
            </w:r>
            <w:r w:rsidRPr="00DC5A22">
              <w:rPr>
                <w:b/>
              </w:rPr>
              <w:t>Ziel und Gegenstand</w:t>
            </w:r>
          </w:p>
        </w:tc>
        <w:tc>
          <w:tcPr>
            <w:tcW w:w="5811" w:type="dxa"/>
            <w:tcBorders>
              <w:top w:val="single" w:sz="4" w:space="0" w:color="000000"/>
              <w:left w:val="single" w:sz="4" w:space="0" w:color="000000"/>
            </w:tcBorders>
            <w:shd w:val="clear" w:color="auto" w:fill="auto"/>
          </w:tcPr>
          <w:p w14:paraId="47C73ADD"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412A106B" w14:textId="77777777" w:rsidR="00A72861" w:rsidRDefault="00A72861" w:rsidP="00A72861"/>
        </w:tc>
      </w:tr>
      <w:tr w:rsidR="00A72861" w14:paraId="5404C8C5" w14:textId="77777777" w:rsidTr="002F0CD7">
        <w:trPr>
          <w:cantSplit/>
        </w:trPr>
        <w:tc>
          <w:tcPr>
            <w:tcW w:w="4849" w:type="dxa"/>
            <w:tcBorders>
              <w:left w:val="single" w:sz="4" w:space="0" w:color="000000"/>
            </w:tcBorders>
            <w:shd w:val="clear" w:color="auto" w:fill="auto"/>
          </w:tcPr>
          <w:p w14:paraId="664ADED0" w14:textId="77777777" w:rsidR="00A72861" w:rsidRDefault="00A72861" w:rsidP="00A72861">
            <w:pPr>
              <w:pStyle w:val="TableContents"/>
            </w:pPr>
            <w:r>
              <w:rPr>
                <w:vertAlign w:val="superscript"/>
              </w:rPr>
              <w:t>1</w:t>
            </w:r>
            <w:r>
              <w:t> Das vorliegende Gesetz legt die Standorte folgender Schulen fest:</w:t>
            </w:r>
          </w:p>
        </w:tc>
        <w:tc>
          <w:tcPr>
            <w:tcW w:w="5811" w:type="dxa"/>
            <w:tcBorders>
              <w:left w:val="single" w:sz="4" w:space="0" w:color="000000"/>
            </w:tcBorders>
            <w:shd w:val="clear" w:color="auto" w:fill="auto"/>
          </w:tcPr>
          <w:p w14:paraId="6152BF41" w14:textId="7E6BE959"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3E801DD2" w14:textId="77777777" w:rsidR="00A72861" w:rsidRDefault="00A72861" w:rsidP="00A72861"/>
        </w:tc>
      </w:tr>
      <w:tr w:rsidR="00A72861" w14:paraId="61275E4F" w14:textId="77777777" w:rsidTr="002F0CD7">
        <w:trPr>
          <w:cantSplit/>
        </w:trPr>
        <w:tc>
          <w:tcPr>
            <w:tcW w:w="4849" w:type="dxa"/>
            <w:tcBorders>
              <w:left w:val="single" w:sz="4" w:space="0" w:color="000000"/>
            </w:tcBorders>
            <w:shd w:val="clear" w:color="auto" w:fill="auto"/>
          </w:tcPr>
          <w:p w14:paraId="56971258" w14:textId="77777777" w:rsidR="00A72861" w:rsidRDefault="00A72861" w:rsidP="00A72861">
            <w:pPr>
              <w:pStyle w:val="TableContents"/>
              <w:ind w:left="149" w:right="3" w:hanging="189"/>
            </w:pPr>
            <w:r>
              <w:t>a) der Pädagogischen Hochschule Wallis (PH-VS);</w:t>
            </w:r>
          </w:p>
        </w:tc>
        <w:tc>
          <w:tcPr>
            <w:tcW w:w="5811" w:type="dxa"/>
            <w:tcBorders>
              <w:left w:val="single" w:sz="4" w:space="0" w:color="000000"/>
            </w:tcBorders>
            <w:shd w:val="clear" w:color="auto" w:fill="auto"/>
          </w:tcPr>
          <w:p w14:paraId="7CA79F91" w14:textId="0CE3E56F"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45A18991" w14:textId="77777777" w:rsidR="00A72861" w:rsidRDefault="00A72861" w:rsidP="00A72861"/>
        </w:tc>
      </w:tr>
      <w:tr w:rsidR="00A72861" w14:paraId="412E5714" w14:textId="77777777" w:rsidTr="002F0CD7">
        <w:trPr>
          <w:cantSplit/>
        </w:trPr>
        <w:tc>
          <w:tcPr>
            <w:tcW w:w="4849" w:type="dxa"/>
            <w:tcBorders>
              <w:left w:val="single" w:sz="4" w:space="0" w:color="000000"/>
            </w:tcBorders>
            <w:shd w:val="clear" w:color="auto" w:fill="auto"/>
          </w:tcPr>
          <w:p w14:paraId="3E59E659" w14:textId="77777777" w:rsidR="00A72861" w:rsidRDefault="00A72861" w:rsidP="00A72861">
            <w:pPr>
              <w:pStyle w:val="TableContents"/>
              <w:ind w:left="149" w:right="3" w:hanging="189"/>
            </w:pPr>
            <w:r>
              <w:t>b) der Fachhochschule Westschweiz Valais/Wallis (HES-SO Valais/Wallis) mit den Bereichen Ingenieurwesen, Wirtschaft &amp; Dienstleistungen, Gesundheit und Soziale Arbeit.</w:t>
            </w:r>
          </w:p>
        </w:tc>
        <w:tc>
          <w:tcPr>
            <w:tcW w:w="5811" w:type="dxa"/>
            <w:tcBorders>
              <w:left w:val="single" w:sz="4" w:space="0" w:color="000000"/>
            </w:tcBorders>
            <w:shd w:val="clear" w:color="auto" w:fill="auto"/>
          </w:tcPr>
          <w:p w14:paraId="19E6C285" w14:textId="62F8D5FF" w:rsidR="00A72861" w:rsidRDefault="00A72861" w:rsidP="00A72861">
            <w:pPr>
              <w:pStyle w:val="TableContents"/>
              <w:ind w:left="149" w:right="3" w:hanging="189"/>
            </w:pPr>
            <w:r>
              <w:t>b) die verschiedenen Bereiche der Fachhochschule Westschweiz Valais-Wallis (HES-SO Valais-Wallis).</w:t>
            </w:r>
          </w:p>
        </w:tc>
        <w:tc>
          <w:tcPr>
            <w:tcW w:w="4194" w:type="dxa"/>
            <w:tcBorders>
              <w:left w:val="single" w:sz="4" w:space="0" w:color="000000"/>
              <w:right w:val="single" w:sz="4" w:space="0" w:color="000000"/>
            </w:tcBorders>
            <w:shd w:val="clear" w:color="auto" w:fill="auto"/>
          </w:tcPr>
          <w:p w14:paraId="44C12828" w14:textId="77777777" w:rsidR="00A72861" w:rsidRDefault="00A72861" w:rsidP="00A72861"/>
        </w:tc>
      </w:tr>
      <w:tr w:rsidR="00A72861" w14:paraId="6D6EE380" w14:textId="77777777" w:rsidTr="002F0CD7">
        <w:trPr>
          <w:cantSplit/>
        </w:trPr>
        <w:tc>
          <w:tcPr>
            <w:tcW w:w="4849" w:type="dxa"/>
            <w:tcBorders>
              <w:left w:val="single" w:sz="4" w:space="0" w:color="000000"/>
            </w:tcBorders>
            <w:shd w:val="clear" w:color="auto" w:fill="auto"/>
          </w:tcPr>
          <w:p w14:paraId="29CF7E39" w14:textId="77777777" w:rsidR="00A72861" w:rsidRDefault="00A72861" w:rsidP="00A72861">
            <w:pPr>
              <w:pStyle w:val="TableContents"/>
              <w:ind w:left="149" w:right="3" w:hanging="189"/>
            </w:pPr>
            <w:r>
              <w:t>c) …</w:t>
            </w:r>
          </w:p>
        </w:tc>
        <w:tc>
          <w:tcPr>
            <w:tcW w:w="5811" w:type="dxa"/>
            <w:tcBorders>
              <w:left w:val="single" w:sz="4" w:space="0" w:color="000000"/>
            </w:tcBorders>
            <w:shd w:val="clear" w:color="auto" w:fill="auto"/>
          </w:tcPr>
          <w:p w14:paraId="182A1006"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20B57C51" w14:textId="77777777" w:rsidR="00A72861" w:rsidRDefault="00A72861" w:rsidP="00A72861"/>
        </w:tc>
      </w:tr>
      <w:tr w:rsidR="00A72861" w14:paraId="1F1A0D06" w14:textId="77777777" w:rsidTr="002F0CD7">
        <w:trPr>
          <w:cantSplit/>
        </w:trPr>
        <w:tc>
          <w:tcPr>
            <w:tcW w:w="4849" w:type="dxa"/>
            <w:tcBorders>
              <w:left w:val="single" w:sz="4" w:space="0" w:color="000000"/>
            </w:tcBorders>
            <w:shd w:val="clear" w:color="auto" w:fill="auto"/>
          </w:tcPr>
          <w:p w14:paraId="521A888E" w14:textId="77777777" w:rsidR="00A72861" w:rsidRDefault="00A72861" w:rsidP="00A72861">
            <w:pPr>
              <w:pStyle w:val="TableContents"/>
              <w:ind w:left="149" w:right="3" w:hanging="189"/>
            </w:pPr>
            <w:r>
              <w:t>d) …</w:t>
            </w:r>
          </w:p>
        </w:tc>
        <w:tc>
          <w:tcPr>
            <w:tcW w:w="5811" w:type="dxa"/>
            <w:tcBorders>
              <w:left w:val="single" w:sz="4" w:space="0" w:color="000000"/>
            </w:tcBorders>
            <w:shd w:val="clear" w:color="auto" w:fill="auto"/>
          </w:tcPr>
          <w:p w14:paraId="5EF58E85"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0D69637B" w14:textId="77777777" w:rsidR="00A72861" w:rsidRDefault="00A72861" w:rsidP="00A72861"/>
        </w:tc>
      </w:tr>
      <w:tr w:rsidR="00A72861" w14:paraId="649A0E64" w14:textId="77777777" w:rsidTr="002F0CD7">
        <w:trPr>
          <w:cantSplit/>
        </w:trPr>
        <w:tc>
          <w:tcPr>
            <w:tcW w:w="4849" w:type="dxa"/>
            <w:tcBorders>
              <w:left w:val="single" w:sz="4" w:space="0" w:color="000000"/>
            </w:tcBorders>
            <w:shd w:val="clear" w:color="auto" w:fill="auto"/>
          </w:tcPr>
          <w:p w14:paraId="45726084" w14:textId="77777777" w:rsidR="00A72861" w:rsidRDefault="00A72861" w:rsidP="00A72861">
            <w:pPr>
              <w:pStyle w:val="TableContents"/>
            </w:pPr>
            <w:r>
              <w:rPr>
                <w:vertAlign w:val="superscript"/>
              </w:rPr>
              <w:t>2</w:t>
            </w:r>
            <w:r>
              <w:t> Das Gesetz regelt die Beteiligung der Standortgemeinden.</w:t>
            </w:r>
          </w:p>
        </w:tc>
        <w:tc>
          <w:tcPr>
            <w:tcW w:w="5811" w:type="dxa"/>
            <w:tcBorders>
              <w:left w:val="single" w:sz="4" w:space="0" w:color="000000"/>
            </w:tcBorders>
            <w:shd w:val="clear" w:color="auto" w:fill="auto"/>
          </w:tcPr>
          <w:p w14:paraId="4FED90C7" w14:textId="12CB436C" w:rsidR="00A72861" w:rsidRDefault="00A72861" w:rsidP="00A72861">
            <w:pPr>
              <w:pStyle w:val="TableContents"/>
            </w:pPr>
            <w:r>
              <w:rPr>
                <w:vertAlign w:val="superscript"/>
              </w:rPr>
              <w:t>2</w:t>
            </w:r>
            <w:r>
              <w:t> </w:t>
            </w:r>
            <w:r w:rsidR="00FA1B4E" w:rsidRPr="00FA1B4E">
              <w:t>Das vorliegende Gesetz regelt die Beteiligung der Standortgemeinden an den kantonalen Bildungs- und Forschungseinrichtungen der Tertiärstufe auf Kantonsgebiet.</w:t>
            </w:r>
          </w:p>
        </w:tc>
        <w:tc>
          <w:tcPr>
            <w:tcW w:w="4194" w:type="dxa"/>
            <w:tcBorders>
              <w:left w:val="single" w:sz="4" w:space="0" w:color="000000"/>
              <w:right w:val="single" w:sz="4" w:space="0" w:color="000000"/>
            </w:tcBorders>
            <w:shd w:val="clear" w:color="auto" w:fill="auto"/>
          </w:tcPr>
          <w:p w14:paraId="67D8008D" w14:textId="77777777" w:rsidR="00A72861" w:rsidRDefault="00A72861" w:rsidP="00A72861"/>
        </w:tc>
      </w:tr>
      <w:tr w:rsidR="00A72861" w14:paraId="551334A8" w14:textId="77777777" w:rsidTr="002F0CD7">
        <w:trPr>
          <w:cantSplit/>
        </w:trPr>
        <w:tc>
          <w:tcPr>
            <w:tcW w:w="4849" w:type="dxa"/>
            <w:tcBorders>
              <w:left w:val="single" w:sz="4" w:space="0" w:color="000000"/>
            </w:tcBorders>
            <w:shd w:val="clear" w:color="auto" w:fill="auto"/>
          </w:tcPr>
          <w:p w14:paraId="0527051F" w14:textId="77777777" w:rsidR="00A72861" w:rsidRDefault="00A72861" w:rsidP="00A72861">
            <w:pPr>
              <w:pStyle w:val="TableContents"/>
            </w:pPr>
          </w:p>
        </w:tc>
        <w:tc>
          <w:tcPr>
            <w:tcW w:w="5811" w:type="dxa"/>
            <w:tcBorders>
              <w:left w:val="single" w:sz="4" w:space="0" w:color="000000"/>
            </w:tcBorders>
            <w:shd w:val="clear" w:color="auto" w:fill="auto"/>
          </w:tcPr>
          <w:p w14:paraId="3F8E5809" w14:textId="2D63FFF9" w:rsidR="00FA1B4E" w:rsidRDefault="00A72861" w:rsidP="00FA1B4E">
            <w:pPr>
              <w:pStyle w:val="TableContents"/>
            </w:pPr>
            <w:r>
              <w:rPr>
                <w:vertAlign w:val="superscript"/>
              </w:rPr>
              <w:t>3</w:t>
            </w:r>
            <w:r>
              <w:t> </w:t>
            </w:r>
            <w:r w:rsidR="00FA1B4E" w:rsidRPr="00FA1B4E">
              <w:t>Als kantonale Bildungs- und Forschungseinrichtungen der Tertiärstufe im Sinne des vorliegenden Gesetzes gelten Einrichtungen, die von Kanton Wallis finanziert oder subventioniert werden und einem oder mehreren der folgenden Gesetze unterstehen:</w:t>
            </w:r>
            <w:r w:rsidR="00FA1B4E">
              <w:tab/>
            </w:r>
          </w:p>
          <w:p w14:paraId="2E813A20" w14:textId="56444BD1" w:rsidR="00FA1B4E" w:rsidRDefault="00FA1B4E" w:rsidP="00FA1B4E">
            <w:pPr>
              <w:pStyle w:val="TableContents"/>
              <w:numPr>
                <w:ilvl w:val="0"/>
                <w:numId w:val="2"/>
              </w:numPr>
            </w:pPr>
            <w:r>
              <w:t>dem Bundesgesetz über die Förderung der Hochschulen und die Koordination im schweizerischen Hochschulbereich (HFKG), und/oder</w:t>
            </w:r>
            <w:r>
              <w:tab/>
            </w:r>
          </w:p>
          <w:p w14:paraId="3C6B8EA6" w14:textId="0DD40C32" w:rsidR="00FA1B4E" w:rsidRDefault="00FA1B4E" w:rsidP="00FA1B4E">
            <w:pPr>
              <w:pStyle w:val="TableContents"/>
              <w:numPr>
                <w:ilvl w:val="0"/>
                <w:numId w:val="2"/>
              </w:numPr>
            </w:pPr>
            <w:r>
              <w:t>dem Bundesgesetz über die Berufsbildung, und/oder</w:t>
            </w:r>
            <w:r>
              <w:tab/>
            </w:r>
          </w:p>
          <w:p w14:paraId="4E26C3F6" w14:textId="7D3AAEFC" w:rsidR="00A72861" w:rsidRDefault="00FA1B4E" w:rsidP="00FA1B4E">
            <w:pPr>
              <w:pStyle w:val="TableContents"/>
              <w:numPr>
                <w:ilvl w:val="0"/>
                <w:numId w:val="2"/>
              </w:numPr>
            </w:pPr>
            <w:r>
              <w:t xml:space="preserve">c) </w:t>
            </w:r>
            <w:r>
              <w:tab/>
              <w:t>dem Gesetz über Bildung und Forschung von universitären Hochschulen und Forschungsinstituten.</w:t>
            </w:r>
          </w:p>
        </w:tc>
        <w:tc>
          <w:tcPr>
            <w:tcW w:w="4194" w:type="dxa"/>
            <w:tcBorders>
              <w:left w:val="single" w:sz="4" w:space="0" w:color="000000"/>
              <w:right w:val="single" w:sz="4" w:space="0" w:color="000000"/>
            </w:tcBorders>
            <w:shd w:val="clear" w:color="auto" w:fill="auto"/>
          </w:tcPr>
          <w:p w14:paraId="403890AE" w14:textId="77777777" w:rsidR="00A72861" w:rsidRDefault="00A72861" w:rsidP="00A72861"/>
        </w:tc>
      </w:tr>
      <w:tr w:rsidR="00A72861" w14:paraId="4C5B27FC" w14:textId="77777777" w:rsidTr="002F0CD7">
        <w:trPr>
          <w:cantSplit/>
        </w:trPr>
        <w:tc>
          <w:tcPr>
            <w:tcW w:w="4849" w:type="dxa"/>
            <w:tcBorders>
              <w:top w:val="single" w:sz="4" w:space="0" w:color="000000"/>
              <w:left w:val="single" w:sz="4" w:space="0" w:color="000000"/>
            </w:tcBorders>
            <w:shd w:val="clear" w:color="auto" w:fill="auto"/>
          </w:tcPr>
          <w:p w14:paraId="5CD7FBE1" w14:textId="77777777" w:rsidR="00A72861" w:rsidRDefault="00A72861" w:rsidP="00A72861">
            <w:pPr>
              <w:pStyle w:val="TableContents"/>
            </w:pPr>
            <w:r>
              <w:rPr>
                <w:b/>
                <w:bCs/>
              </w:rPr>
              <w:lastRenderedPageBreak/>
              <w:t>Art.  2</w:t>
            </w:r>
            <w:r>
              <w:br/>
            </w:r>
            <w:r w:rsidRPr="00DC5A22">
              <w:rPr>
                <w:b/>
              </w:rPr>
              <w:t>Standort der PH-VS</w:t>
            </w:r>
          </w:p>
        </w:tc>
        <w:tc>
          <w:tcPr>
            <w:tcW w:w="5811" w:type="dxa"/>
            <w:tcBorders>
              <w:top w:val="single" w:sz="4" w:space="0" w:color="000000"/>
              <w:left w:val="single" w:sz="4" w:space="0" w:color="000000"/>
            </w:tcBorders>
            <w:shd w:val="clear" w:color="auto" w:fill="auto"/>
          </w:tcPr>
          <w:p w14:paraId="64E6C153"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03937E26" w14:textId="77777777" w:rsidR="00A72861" w:rsidRDefault="00A72861" w:rsidP="00A72861"/>
        </w:tc>
      </w:tr>
      <w:tr w:rsidR="00A72861" w14:paraId="4E87983E" w14:textId="77777777" w:rsidTr="002F0CD7">
        <w:trPr>
          <w:cantSplit/>
        </w:trPr>
        <w:tc>
          <w:tcPr>
            <w:tcW w:w="4849" w:type="dxa"/>
            <w:tcBorders>
              <w:left w:val="single" w:sz="4" w:space="0" w:color="000000"/>
            </w:tcBorders>
            <w:shd w:val="clear" w:color="auto" w:fill="auto"/>
          </w:tcPr>
          <w:p w14:paraId="6019C084" w14:textId="77777777" w:rsidR="00A72861" w:rsidRDefault="00A72861" w:rsidP="00A72861">
            <w:pPr>
              <w:pStyle w:val="TableContents"/>
            </w:pPr>
            <w:r>
              <w:rPr>
                <w:vertAlign w:val="superscript"/>
              </w:rPr>
              <w:t>1</w:t>
            </w:r>
            <w:r>
              <w:t> Die deutschsprachige Abteilung der PH-VS hat ihren Sitz in Brig-Glis.</w:t>
            </w:r>
          </w:p>
        </w:tc>
        <w:tc>
          <w:tcPr>
            <w:tcW w:w="5811" w:type="dxa"/>
            <w:tcBorders>
              <w:left w:val="single" w:sz="4" w:space="0" w:color="000000"/>
            </w:tcBorders>
            <w:shd w:val="clear" w:color="auto" w:fill="auto"/>
          </w:tcPr>
          <w:p w14:paraId="56FB7D37"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08FF8B17" w14:textId="77777777" w:rsidR="00A72861" w:rsidRDefault="00A72861" w:rsidP="00A72861"/>
        </w:tc>
      </w:tr>
      <w:tr w:rsidR="00A72861" w14:paraId="73F63D99" w14:textId="77777777" w:rsidTr="002F0CD7">
        <w:trPr>
          <w:cantSplit/>
        </w:trPr>
        <w:tc>
          <w:tcPr>
            <w:tcW w:w="4849" w:type="dxa"/>
            <w:tcBorders>
              <w:left w:val="single" w:sz="4" w:space="0" w:color="000000"/>
            </w:tcBorders>
            <w:shd w:val="clear" w:color="auto" w:fill="auto"/>
          </w:tcPr>
          <w:p w14:paraId="42E866C7" w14:textId="77777777" w:rsidR="00A72861" w:rsidRDefault="00A72861" w:rsidP="00A72861">
            <w:pPr>
              <w:pStyle w:val="TableContents"/>
            </w:pPr>
            <w:r>
              <w:rPr>
                <w:vertAlign w:val="superscript"/>
              </w:rPr>
              <w:t>2</w:t>
            </w:r>
            <w:r>
              <w:t> Die französischsprachige Abteilung der PH-VS hat ihren Sitz in St-Maurice.</w:t>
            </w:r>
          </w:p>
        </w:tc>
        <w:tc>
          <w:tcPr>
            <w:tcW w:w="5811" w:type="dxa"/>
            <w:tcBorders>
              <w:left w:val="single" w:sz="4" w:space="0" w:color="000000"/>
            </w:tcBorders>
            <w:shd w:val="clear" w:color="auto" w:fill="auto"/>
          </w:tcPr>
          <w:p w14:paraId="68BBBB7B"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051439B3" w14:textId="77777777" w:rsidR="00A72861" w:rsidRDefault="00A72861" w:rsidP="00A72861"/>
        </w:tc>
      </w:tr>
      <w:tr w:rsidR="00A72861" w14:paraId="3D102C21" w14:textId="77777777" w:rsidTr="002F0CD7">
        <w:trPr>
          <w:cantSplit/>
        </w:trPr>
        <w:tc>
          <w:tcPr>
            <w:tcW w:w="4849" w:type="dxa"/>
            <w:tcBorders>
              <w:top w:val="single" w:sz="4" w:space="0" w:color="000000"/>
              <w:left w:val="single" w:sz="4" w:space="0" w:color="000000"/>
            </w:tcBorders>
            <w:shd w:val="clear" w:color="auto" w:fill="auto"/>
          </w:tcPr>
          <w:p w14:paraId="48A611EA" w14:textId="77777777" w:rsidR="00A72861" w:rsidRDefault="00A72861" w:rsidP="00A72861">
            <w:pPr>
              <w:pStyle w:val="TableContents"/>
            </w:pPr>
            <w:r>
              <w:rPr>
                <w:b/>
                <w:bCs/>
              </w:rPr>
              <w:t>Art.  3</w:t>
            </w:r>
            <w:r>
              <w:br/>
            </w:r>
            <w:r>
              <w:rPr>
                <w:sz w:val="14"/>
              </w:rPr>
              <w:t>…</w:t>
            </w:r>
          </w:p>
        </w:tc>
        <w:tc>
          <w:tcPr>
            <w:tcW w:w="5811" w:type="dxa"/>
            <w:tcBorders>
              <w:top w:val="single" w:sz="4" w:space="0" w:color="000000"/>
              <w:left w:val="single" w:sz="4" w:space="0" w:color="000000"/>
            </w:tcBorders>
            <w:shd w:val="clear" w:color="auto" w:fill="auto"/>
          </w:tcPr>
          <w:p w14:paraId="260A1740"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6C2AB289" w14:textId="77777777" w:rsidR="00A72861" w:rsidRDefault="00A72861" w:rsidP="00A72861"/>
        </w:tc>
      </w:tr>
      <w:tr w:rsidR="00A72861" w14:paraId="1092FB68" w14:textId="77777777" w:rsidTr="002F0CD7">
        <w:trPr>
          <w:cantSplit/>
        </w:trPr>
        <w:tc>
          <w:tcPr>
            <w:tcW w:w="4849" w:type="dxa"/>
            <w:tcBorders>
              <w:top w:val="single" w:sz="4" w:space="0" w:color="000000"/>
              <w:left w:val="single" w:sz="4" w:space="0" w:color="000000"/>
            </w:tcBorders>
            <w:shd w:val="clear" w:color="auto" w:fill="auto"/>
          </w:tcPr>
          <w:p w14:paraId="3079B94B" w14:textId="77777777" w:rsidR="00A72861" w:rsidRDefault="00A72861" w:rsidP="00A72861">
            <w:pPr>
              <w:pStyle w:val="TableContents"/>
            </w:pPr>
            <w:r>
              <w:rPr>
                <w:b/>
                <w:bCs/>
              </w:rPr>
              <w:t>Art.  4</w:t>
            </w:r>
            <w:r>
              <w:br/>
            </w:r>
            <w:r w:rsidRPr="00DC5A22">
              <w:rPr>
                <w:b/>
              </w:rPr>
              <w:t>Standorte der HES-SO Valais/Wallis</w:t>
            </w:r>
          </w:p>
        </w:tc>
        <w:tc>
          <w:tcPr>
            <w:tcW w:w="5811" w:type="dxa"/>
            <w:tcBorders>
              <w:top w:val="single" w:sz="4" w:space="0" w:color="000000"/>
              <w:left w:val="single" w:sz="4" w:space="0" w:color="000000"/>
            </w:tcBorders>
            <w:shd w:val="clear" w:color="auto" w:fill="auto"/>
          </w:tcPr>
          <w:p w14:paraId="48C63AC7" w14:textId="3BCA9BD3" w:rsidR="00A72861" w:rsidRDefault="00A72861" w:rsidP="00A72861">
            <w:pPr>
              <w:pStyle w:val="TableContents"/>
            </w:pPr>
            <w:r>
              <w:rPr>
                <w:b/>
                <w:bCs/>
              </w:rPr>
              <w:t>Art.  4</w:t>
            </w:r>
            <w:r>
              <w:br/>
            </w:r>
            <w:r>
              <w:rPr>
                <w:sz w:val="14"/>
              </w:rPr>
              <w:t>Standorte der HES-SO Valais-Wallis</w:t>
            </w:r>
          </w:p>
        </w:tc>
        <w:tc>
          <w:tcPr>
            <w:tcW w:w="4194" w:type="dxa"/>
            <w:tcBorders>
              <w:top w:val="single" w:sz="4" w:space="0" w:color="000000"/>
              <w:left w:val="single" w:sz="4" w:space="0" w:color="000000"/>
              <w:right w:val="single" w:sz="4" w:space="0" w:color="000000"/>
            </w:tcBorders>
            <w:shd w:val="clear" w:color="auto" w:fill="auto"/>
          </w:tcPr>
          <w:p w14:paraId="77C9B789" w14:textId="77777777" w:rsidR="00A72861" w:rsidRDefault="00A72861" w:rsidP="00A72861"/>
        </w:tc>
      </w:tr>
      <w:tr w:rsidR="00A72861" w14:paraId="6B5552EF" w14:textId="77777777" w:rsidTr="002F0CD7">
        <w:trPr>
          <w:cantSplit/>
        </w:trPr>
        <w:tc>
          <w:tcPr>
            <w:tcW w:w="4849" w:type="dxa"/>
            <w:tcBorders>
              <w:left w:val="single" w:sz="4" w:space="0" w:color="000000"/>
            </w:tcBorders>
            <w:shd w:val="clear" w:color="auto" w:fill="auto"/>
          </w:tcPr>
          <w:p w14:paraId="71C38957" w14:textId="77777777" w:rsidR="00A72861" w:rsidRDefault="00A72861" w:rsidP="00A72861">
            <w:pPr>
              <w:pStyle w:val="TableContents"/>
            </w:pPr>
            <w:r>
              <w:rPr>
                <w:vertAlign w:val="superscript"/>
              </w:rPr>
              <w:t>1</w:t>
            </w:r>
            <w:r>
              <w:t> Die Standorte der HES-SO Valais/Wallis sind:</w:t>
            </w:r>
          </w:p>
        </w:tc>
        <w:tc>
          <w:tcPr>
            <w:tcW w:w="5811" w:type="dxa"/>
            <w:tcBorders>
              <w:left w:val="single" w:sz="4" w:space="0" w:color="000000"/>
            </w:tcBorders>
            <w:shd w:val="clear" w:color="auto" w:fill="auto"/>
          </w:tcPr>
          <w:p w14:paraId="7578B029" w14:textId="66C8B6A1" w:rsidR="00A72861" w:rsidRDefault="00A72861" w:rsidP="00A72861">
            <w:pPr>
              <w:pStyle w:val="TableContents"/>
            </w:pPr>
            <w:r>
              <w:rPr>
                <w:vertAlign w:val="superscript"/>
              </w:rPr>
              <w:t>1</w:t>
            </w:r>
            <w:r>
              <w:t> Die Standorte der HES-SO Valais-Wallis sind:</w:t>
            </w:r>
          </w:p>
        </w:tc>
        <w:tc>
          <w:tcPr>
            <w:tcW w:w="4194" w:type="dxa"/>
            <w:tcBorders>
              <w:left w:val="single" w:sz="4" w:space="0" w:color="000000"/>
              <w:right w:val="single" w:sz="4" w:space="0" w:color="000000"/>
            </w:tcBorders>
            <w:shd w:val="clear" w:color="auto" w:fill="auto"/>
          </w:tcPr>
          <w:p w14:paraId="320B01EB" w14:textId="77777777" w:rsidR="00A72861" w:rsidRDefault="00A72861" w:rsidP="00A72861"/>
        </w:tc>
      </w:tr>
      <w:tr w:rsidR="00A72861" w14:paraId="02059C41" w14:textId="77777777" w:rsidTr="002F0CD7">
        <w:trPr>
          <w:cantSplit/>
        </w:trPr>
        <w:tc>
          <w:tcPr>
            <w:tcW w:w="4849" w:type="dxa"/>
            <w:tcBorders>
              <w:left w:val="single" w:sz="4" w:space="0" w:color="000000"/>
            </w:tcBorders>
            <w:shd w:val="clear" w:color="auto" w:fill="auto"/>
          </w:tcPr>
          <w:p w14:paraId="435B8E5D" w14:textId="77777777" w:rsidR="00A72861" w:rsidRDefault="00A72861" w:rsidP="00A72861">
            <w:pPr>
              <w:pStyle w:val="TableContents"/>
              <w:ind w:left="149" w:right="3" w:hanging="189"/>
            </w:pPr>
            <w:r>
              <w:t>a) Sitten für die Bereiche Ingenieurwesen und Gesundheit (französischsprachiger Lehrgang in Gesundheits- und Krankenpflege);</w:t>
            </w:r>
          </w:p>
        </w:tc>
        <w:tc>
          <w:tcPr>
            <w:tcW w:w="5811" w:type="dxa"/>
            <w:tcBorders>
              <w:left w:val="single" w:sz="4" w:space="0" w:color="000000"/>
            </w:tcBorders>
            <w:shd w:val="clear" w:color="auto" w:fill="auto"/>
          </w:tcPr>
          <w:p w14:paraId="2A716339"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5AF84896" w14:textId="77777777" w:rsidR="00A72861" w:rsidRDefault="00A72861" w:rsidP="00A72861"/>
        </w:tc>
      </w:tr>
      <w:tr w:rsidR="00A72861" w14:paraId="340DDE95" w14:textId="77777777" w:rsidTr="002F0CD7">
        <w:trPr>
          <w:cantSplit/>
        </w:trPr>
        <w:tc>
          <w:tcPr>
            <w:tcW w:w="4849" w:type="dxa"/>
            <w:tcBorders>
              <w:left w:val="single" w:sz="4" w:space="0" w:color="000000"/>
            </w:tcBorders>
            <w:shd w:val="clear" w:color="auto" w:fill="auto"/>
          </w:tcPr>
          <w:p w14:paraId="2C482376" w14:textId="77777777" w:rsidR="00A72861" w:rsidRDefault="00A72861" w:rsidP="00A72861">
            <w:pPr>
              <w:pStyle w:val="TableContents"/>
              <w:ind w:left="149" w:right="3" w:hanging="189"/>
            </w:pPr>
            <w:r>
              <w:t>b) Siders für die Bereiche Wirtschaft &amp; Dienstleistungen und soziale Arbeit;</w:t>
            </w:r>
          </w:p>
        </w:tc>
        <w:tc>
          <w:tcPr>
            <w:tcW w:w="5811" w:type="dxa"/>
            <w:tcBorders>
              <w:left w:val="single" w:sz="4" w:space="0" w:color="000000"/>
            </w:tcBorders>
            <w:shd w:val="clear" w:color="auto" w:fill="auto"/>
          </w:tcPr>
          <w:p w14:paraId="66852209" w14:textId="3D133B8B" w:rsidR="00A72861" w:rsidRDefault="00A72861" w:rsidP="00A72861">
            <w:pPr>
              <w:pStyle w:val="TableContents"/>
              <w:ind w:left="149" w:right="3" w:hanging="189"/>
            </w:pPr>
            <w:r>
              <w:t>b) Siders für die Bereiche Wirtschaft und Dienstleistungen, soziale Arbeit und Design und bildende Kunst;</w:t>
            </w:r>
          </w:p>
        </w:tc>
        <w:tc>
          <w:tcPr>
            <w:tcW w:w="4194" w:type="dxa"/>
            <w:tcBorders>
              <w:left w:val="single" w:sz="4" w:space="0" w:color="000000"/>
              <w:right w:val="single" w:sz="4" w:space="0" w:color="000000"/>
            </w:tcBorders>
            <w:shd w:val="clear" w:color="auto" w:fill="auto"/>
          </w:tcPr>
          <w:p w14:paraId="1C779EA5" w14:textId="77777777" w:rsidR="00A72861" w:rsidRDefault="00A72861" w:rsidP="00A72861"/>
        </w:tc>
      </w:tr>
      <w:tr w:rsidR="00A72861" w14:paraId="362B501C" w14:textId="77777777" w:rsidTr="002F0CD7">
        <w:trPr>
          <w:cantSplit/>
        </w:trPr>
        <w:tc>
          <w:tcPr>
            <w:tcW w:w="4849" w:type="dxa"/>
            <w:tcBorders>
              <w:left w:val="single" w:sz="4" w:space="0" w:color="000000"/>
            </w:tcBorders>
            <w:shd w:val="clear" w:color="auto" w:fill="auto"/>
          </w:tcPr>
          <w:p w14:paraId="1320CE47" w14:textId="77777777" w:rsidR="00A72861" w:rsidRDefault="00A72861" w:rsidP="00A72861">
            <w:pPr>
              <w:pStyle w:val="TableContents"/>
              <w:ind w:left="149" w:right="3" w:hanging="189"/>
            </w:pPr>
            <w:r>
              <w:t>c) Leukerbad für den Lehrgang Physiotherapie;</w:t>
            </w:r>
          </w:p>
        </w:tc>
        <w:tc>
          <w:tcPr>
            <w:tcW w:w="5811" w:type="dxa"/>
            <w:tcBorders>
              <w:left w:val="single" w:sz="4" w:space="0" w:color="000000"/>
            </w:tcBorders>
            <w:shd w:val="clear" w:color="auto" w:fill="auto"/>
          </w:tcPr>
          <w:p w14:paraId="6C962C98"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5839A2E7" w14:textId="77777777" w:rsidR="00A72861" w:rsidRDefault="00A72861" w:rsidP="00A72861"/>
        </w:tc>
      </w:tr>
      <w:tr w:rsidR="00A72861" w14:paraId="7F0499F6" w14:textId="77777777" w:rsidTr="002F0CD7">
        <w:trPr>
          <w:cantSplit/>
        </w:trPr>
        <w:tc>
          <w:tcPr>
            <w:tcW w:w="4849" w:type="dxa"/>
            <w:tcBorders>
              <w:left w:val="single" w:sz="4" w:space="0" w:color="000000"/>
            </w:tcBorders>
            <w:shd w:val="clear" w:color="auto" w:fill="auto"/>
          </w:tcPr>
          <w:p w14:paraId="36AD13FF" w14:textId="77777777" w:rsidR="00A72861" w:rsidRDefault="00A72861" w:rsidP="00A72861">
            <w:pPr>
              <w:pStyle w:val="TableContents"/>
              <w:ind w:left="149" w:right="3" w:hanging="189"/>
            </w:pPr>
            <w:r>
              <w:t>d) Visp für den deutschsprachigen Lehrgang in Gesundheits- und Krankenpflege.</w:t>
            </w:r>
          </w:p>
        </w:tc>
        <w:tc>
          <w:tcPr>
            <w:tcW w:w="5811" w:type="dxa"/>
            <w:tcBorders>
              <w:left w:val="single" w:sz="4" w:space="0" w:color="000000"/>
            </w:tcBorders>
            <w:shd w:val="clear" w:color="auto" w:fill="auto"/>
          </w:tcPr>
          <w:p w14:paraId="28E4DE9A"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6F3C7FED" w14:textId="77777777" w:rsidR="00A72861" w:rsidRDefault="00A72861" w:rsidP="00A72861"/>
        </w:tc>
      </w:tr>
      <w:tr w:rsidR="00A72861" w14:paraId="5050B9D8" w14:textId="77777777" w:rsidTr="002F0CD7">
        <w:trPr>
          <w:cantSplit/>
        </w:trPr>
        <w:tc>
          <w:tcPr>
            <w:tcW w:w="4849" w:type="dxa"/>
            <w:tcBorders>
              <w:left w:val="single" w:sz="4" w:space="0" w:color="000000"/>
            </w:tcBorders>
            <w:shd w:val="clear" w:color="auto" w:fill="auto"/>
          </w:tcPr>
          <w:p w14:paraId="6E935DBD" w14:textId="77777777" w:rsidR="00A72861" w:rsidRDefault="00A72861" w:rsidP="00A72861">
            <w:pPr>
              <w:pStyle w:val="TableContents"/>
            </w:pPr>
            <w:r>
              <w:rPr>
                <w:vertAlign w:val="superscript"/>
              </w:rPr>
              <w:t>2</w:t>
            </w:r>
            <w:r>
              <w:t> Die Standortbestimmung neuer Bereiche liegt in der Kompetenz des Grossen Rates.</w:t>
            </w:r>
          </w:p>
        </w:tc>
        <w:tc>
          <w:tcPr>
            <w:tcW w:w="5811" w:type="dxa"/>
            <w:tcBorders>
              <w:left w:val="single" w:sz="4" w:space="0" w:color="000000"/>
            </w:tcBorders>
            <w:shd w:val="clear" w:color="auto" w:fill="auto"/>
          </w:tcPr>
          <w:p w14:paraId="268000BE"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17A92DDA" w14:textId="77777777" w:rsidR="00A72861" w:rsidRDefault="00A72861" w:rsidP="00A72861"/>
        </w:tc>
      </w:tr>
      <w:tr w:rsidR="00A72861" w14:paraId="3575E387" w14:textId="77777777" w:rsidTr="002F0CD7">
        <w:trPr>
          <w:cantSplit/>
        </w:trPr>
        <w:tc>
          <w:tcPr>
            <w:tcW w:w="4849" w:type="dxa"/>
            <w:tcBorders>
              <w:left w:val="single" w:sz="4" w:space="0" w:color="000000"/>
            </w:tcBorders>
            <w:shd w:val="clear" w:color="auto" w:fill="auto"/>
          </w:tcPr>
          <w:p w14:paraId="43F66F68" w14:textId="77777777" w:rsidR="00A72861" w:rsidRDefault="00A72861" w:rsidP="00A72861">
            <w:pPr>
              <w:pStyle w:val="TableContents"/>
            </w:pPr>
            <w:r>
              <w:rPr>
                <w:vertAlign w:val="superscript"/>
              </w:rPr>
              <w:t>3</w:t>
            </w:r>
            <w:r>
              <w:t> In beiden Sprachregionen wird ein Organ damit beauftragt, die Verbindung zwischen der HES-SO Valais/Wallis und der Wirtschaft sicherzustellen.</w:t>
            </w:r>
          </w:p>
          <w:p w14:paraId="7B2E83A1" w14:textId="77777777" w:rsidR="00A72861" w:rsidRDefault="00A72861" w:rsidP="00A72861">
            <w:pPr>
              <w:pStyle w:val="TableContents"/>
            </w:pPr>
          </w:p>
          <w:p w14:paraId="601CBDC0" w14:textId="290D381D" w:rsidR="002100B8" w:rsidRDefault="002100B8" w:rsidP="00A72861">
            <w:pPr>
              <w:pStyle w:val="TableContents"/>
            </w:pPr>
          </w:p>
        </w:tc>
        <w:tc>
          <w:tcPr>
            <w:tcW w:w="5811" w:type="dxa"/>
            <w:tcBorders>
              <w:left w:val="single" w:sz="4" w:space="0" w:color="000000"/>
            </w:tcBorders>
            <w:shd w:val="clear" w:color="auto" w:fill="auto"/>
          </w:tcPr>
          <w:p w14:paraId="49A847D7" w14:textId="25E02368" w:rsidR="00A72861" w:rsidRDefault="00A72861" w:rsidP="00A72861">
            <w:pPr>
              <w:pStyle w:val="TableContents"/>
            </w:pPr>
            <w:r>
              <w:rPr>
                <w:vertAlign w:val="superscript"/>
              </w:rPr>
              <w:t>3</w:t>
            </w:r>
            <w:r>
              <w:t> </w:t>
            </w:r>
            <w:r>
              <w:rPr>
                <w:i/>
                <w:iCs/>
              </w:rPr>
              <w:t>Aufgehoben.</w:t>
            </w:r>
          </w:p>
        </w:tc>
        <w:tc>
          <w:tcPr>
            <w:tcW w:w="4194" w:type="dxa"/>
            <w:tcBorders>
              <w:left w:val="single" w:sz="4" w:space="0" w:color="000000"/>
              <w:right w:val="single" w:sz="4" w:space="0" w:color="000000"/>
            </w:tcBorders>
            <w:shd w:val="clear" w:color="auto" w:fill="auto"/>
          </w:tcPr>
          <w:p w14:paraId="57D8DBD2" w14:textId="77777777" w:rsidR="00A72861" w:rsidRDefault="00A72861" w:rsidP="00A72861"/>
        </w:tc>
      </w:tr>
      <w:tr w:rsidR="00A72861" w14:paraId="53E04D72" w14:textId="77777777" w:rsidTr="002F0CD7">
        <w:trPr>
          <w:cantSplit/>
        </w:trPr>
        <w:tc>
          <w:tcPr>
            <w:tcW w:w="4849" w:type="dxa"/>
            <w:tcBorders>
              <w:top w:val="single" w:sz="4" w:space="0" w:color="000000"/>
              <w:left w:val="single" w:sz="4" w:space="0" w:color="000000"/>
            </w:tcBorders>
            <w:shd w:val="clear" w:color="auto" w:fill="auto"/>
          </w:tcPr>
          <w:p w14:paraId="06A67C87" w14:textId="77777777" w:rsidR="00A72861" w:rsidRDefault="00A72861" w:rsidP="00A72861">
            <w:pPr>
              <w:pStyle w:val="TableContents"/>
            </w:pPr>
            <w:r>
              <w:rPr>
                <w:b/>
                <w:bCs/>
              </w:rPr>
              <w:lastRenderedPageBreak/>
              <w:t>Art.  5</w:t>
            </w:r>
            <w:r>
              <w:br/>
            </w:r>
            <w:r w:rsidRPr="00DC5A22">
              <w:rPr>
                <w:b/>
              </w:rPr>
              <w:t>Beitrag der Gemeinden an die Investitions- und Mietkosten</w:t>
            </w:r>
          </w:p>
        </w:tc>
        <w:tc>
          <w:tcPr>
            <w:tcW w:w="5811" w:type="dxa"/>
            <w:tcBorders>
              <w:top w:val="single" w:sz="4" w:space="0" w:color="000000"/>
              <w:left w:val="single" w:sz="4" w:space="0" w:color="000000"/>
            </w:tcBorders>
            <w:shd w:val="clear" w:color="auto" w:fill="auto"/>
          </w:tcPr>
          <w:p w14:paraId="3C03E949"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7D196FBB" w14:textId="77777777" w:rsidR="00A72861" w:rsidRDefault="00A72861" w:rsidP="00A72861"/>
        </w:tc>
      </w:tr>
      <w:tr w:rsidR="00A72861" w14:paraId="55833BE9" w14:textId="77777777" w:rsidTr="002F0CD7">
        <w:trPr>
          <w:cantSplit/>
        </w:trPr>
        <w:tc>
          <w:tcPr>
            <w:tcW w:w="4849" w:type="dxa"/>
            <w:tcBorders>
              <w:left w:val="single" w:sz="4" w:space="0" w:color="000000"/>
            </w:tcBorders>
            <w:shd w:val="clear" w:color="auto" w:fill="auto"/>
          </w:tcPr>
          <w:p w14:paraId="5F07F9A3" w14:textId="77777777" w:rsidR="00A72861" w:rsidRDefault="00A72861" w:rsidP="00A72861">
            <w:pPr>
              <w:pStyle w:val="TableContents"/>
            </w:pPr>
            <w:r>
              <w:rPr>
                <w:vertAlign w:val="superscript"/>
              </w:rPr>
              <w:t>1</w:t>
            </w:r>
            <w:r>
              <w:t> Gemeinden, in denen Gebäude für Bildungs- und Forschungsstätten des Tertiärbereichs errichtet werden, die vom Staat Wallis finanziert oder subventioniert werden, stellen das hierfür nötige erschlossene Bauland unentgeltlich zur Verfügung.</w:t>
            </w:r>
          </w:p>
        </w:tc>
        <w:tc>
          <w:tcPr>
            <w:tcW w:w="5811" w:type="dxa"/>
            <w:tcBorders>
              <w:left w:val="single" w:sz="4" w:space="0" w:color="000000"/>
            </w:tcBorders>
            <w:shd w:val="clear" w:color="auto" w:fill="auto"/>
          </w:tcPr>
          <w:p w14:paraId="5000B948" w14:textId="22BB1371" w:rsidR="00A72861" w:rsidRDefault="00A72861" w:rsidP="00A72861">
            <w:pPr>
              <w:pStyle w:val="TableContents"/>
            </w:pPr>
            <w:r>
              <w:rPr>
                <w:vertAlign w:val="superscript"/>
              </w:rPr>
              <w:t>1</w:t>
            </w:r>
            <w:r>
              <w:t> Gemeinden, in denen Gebäude für kantonale Bildungs- und Forschungseinrichtungen der Tertiärstufe errichtet werden, die vom Staat Wallis finanziert oder subventioniert werden, stellen das hierfür nötige erschlossene Bauland unentgeltlich zur Verfügung.</w:t>
            </w:r>
          </w:p>
        </w:tc>
        <w:tc>
          <w:tcPr>
            <w:tcW w:w="4194" w:type="dxa"/>
            <w:tcBorders>
              <w:left w:val="single" w:sz="4" w:space="0" w:color="000000"/>
              <w:right w:val="single" w:sz="4" w:space="0" w:color="000000"/>
            </w:tcBorders>
            <w:shd w:val="clear" w:color="auto" w:fill="auto"/>
          </w:tcPr>
          <w:p w14:paraId="46D0DB8B" w14:textId="77777777" w:rsidR="00A72861" w:rsidRDefault="00A72861" w:rsidP="00A72861"/>
        </w:tc>
      </w:tr>
      <w:tr w:rsidR="00A72861" w14:paraId="25F6FFE6" w14:textId="77777777" w:rsidTr="002F0CD7">
        <w:trPr>
          <w:cantSplit/>
        </w:trPr>
        <w:tc>
          <w:tcPr>
            <w:tcW w:w="4849" w:type="dxa"/>
            <w:tcBorders>
              <w:left w:val="single" w:sz="4" w:space="0" w:color="000000"/>
            </w:tcBorders>
            <w:shd w:val="clear" w:color="auto" w:fill="auto"/>
          </w:tcPr>
          <w:p w14:paraId="269E4060" w14:textId="77777777" w:rsidR="00A72861" w:rsidRDefault="00A72861" w:rsidP="00A72861">
            <w:pPr>
              <w:pStyle w:val="TableContents"/>
            </w:pPr>
            <w:r>
              <w:rPr>
                <w:vertAlign w:val="superscript"/>
              </w:rPr>
              <w:t>2</w:t>
            </w:r>
            <w:r>
              <w:t> Die Standortgemeinden beteiligen sich ferner zu zehn Prozent an folgenden Investitionskosten:</w:t>
            </w:r>
          </w:p>
        </w:tc>
        <w:tc>
          <w:tcPr>
            <w:tcW w:w="5811" w:type="dxa"/>
            <w:tcBorders>
              <w:left w:val="single" w:sz="4" w:space="0" w:color="000000"/>
            </w:tcBorders>
            <w:shd w:val="clear" w:color="auto" w:fill="auto"/>
          </w:tcPr>
          <w:p w14:paraId="2018577A"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60E0AA6D" w14:textId="77777777" w:rsidR="00A72861" w:rsidRDefault="00A72861" w:rsidP="00A72861"/>
        </w:tc>
      </w:tr>
      <w:tr w:rsidR="00A72861" w14:paraId="5F55D95A" w14:textId="77777777" w:rsidTr="002F0CD7">
        <w:trPr>
          <w:cantSplit/>
        </w:trPr>
        <w:tc>
          <w:tcPr>
            <w:tcW w:w="4849" w:type="dxa"/>
            <w:tcBorders>
              <w:left w:val="single" w:sz="4" w:space="0" w:color="000000"/>
            </w:tcBorders>
            <w:shd w:val="clear" w:color="auto" w:fill="auto"/>
          </w:tcPr>
          <w:p w14:paraId="0FC3EE67" w14:textId="77777777" w:rsidR="00A72861" w:rsidRDefault="00A72861" w:rsidP="00A72861">
            <w:pPr>
              <w:pStyle w:val="TableContents"/>
              <w:ind w:left="149" w:right="3" w:hanging="189"/>
            </w:pPr>
            <w:r>
              <w:t>a) Kosten für Bau, Erwerb, Erweiterung, Renovierung, Umbau und Gebäudeausstattung;</w:t>
            </w:r>
          </w:p>
        </w:tc>
        <w:tc>
          <w:tcPr>
            <w:tcW w:w="5811" w:type="dxa"/>
            <w:tcBorders>
              <w:left w:val="single" w:sz="4" w:space="0" w:color="000000"/>
            </w:tcBorders>
            <w:shd w:val="clear" w:color="auto" w:fill="auto"/>
          </w:tcPr>
          <w:p w14:paraId="6A9DA2B5"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3C77E9EC" w14:textId="77777777" w:rsidR="00A72861" w:rsidRDefault="00A72861" w:rsidP="00A72861"/>
        </w:tc>
      </w:tr>
      <w:tr w:rsidR="00A72861" w14:paraId="080E1AAA" w14:textId="77777777" w:rsidTr="002F0CD7">
        <w:trPr>
          <w:cantSplit/>
        </w:trPr>
        <w:tc>
          <w:tcPr>
            <w:tcW w:w="4849" w:type="dxa"/>
            <w:tcBorders>
              <w:left w:val="single" w:sz="4" w:space="0" w:color="000000"/>
            </w:tcBorders>
            <w:shd w:val="clear" w:color="auto" w:fill="auto"/>
          </w:tcPr>
          <w:p w14:paraId="7B802AA2" w14:textId="77777777" w:rsidR="00A72861" w:rsidRDefault="00A72861" w:rsidP="00A72861">
            <w:pPr>
              <w:pStyle w:val="TableContents"/>
              <w:ind w:left="149" w:right="3" w:hanging="189"/>
            </w:pPr>
            <w:r>
              <w:t>b) Kosten für die Erneuerung der Einrichtungen und Installationen: Apparate, Informatikmaterial, Instrumente, Maschinen, Möbel, Mobiliar, Fahrzeuge;</w:t>
            </w:r>
          </w:p>
        </w:tc>
        <w:tc>
          <w:tcPr>
            <w:tcW w:w="5811" w:type="dxa"/>
            <w:tcBorders>
              <w:left w:val="single" w:sz="4" w:space="0" w:color="000000"/>
            </w:tcBorders>
            <w:shd w:val="clear" w:color="auto" w:fill="auto"/>
          </w:tcPr>
          <w:p w14:paraId="7EF079FD"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6A84E9E6" w14:textId="77777777" w:rsidR="00A72861" w:rsidRDefault="00A72861" w:rsidP="00A72861"/>
        </w:tc>
      </w:tr>
      <w:tr w:rsidR="00A72861" w14:paraId="511448BF" w14:textId="77777777" w:rsidTr="002F0CD7">
        <w:trPr>
          <w:cantSplit/>
        </w:trPr>
        <w:tc>
          <w:tcPr>
            <w:tcW w:w="4849" w:type="dxa"/>
            <w:tcBorders>
              <w:left w:val="single" w:sz="4" w:space="0" w:color="000000"/>
            </w:tcBorders>
            <w:shd w:val="clear" w:color="auto" w:fill="auto"/>
          </w:tcPr>
          <w:p w14:paraId="202193C6" w14:textId="77777777" w:rsidR="00A72861" w:rsidRDefault="00A72861" w:rsidP="00A72861">
            <w:pPr>
              <w:pStyle w:val="TableContents"/>
              <w:ind w:left="149" w:right="3" w:hanging="189"/>
            </w:pPr>
            <w:r>
              <w:t>c) gegebenenfalls die Mietkosten für die Räumlichkeiten.</w:t>
            </w:r>
          </w:p>
        </w:tc>
        <w:tc>
          <w:tcPr>
            <w:tcW w:w="5811" w:type="dxa"/>
            <w:tcBorders>
              <w:left w:val="single" w:sz="4" w:space="0" w:color="000000"/>
            </w:tcBorders>
            <w:shd w:val="clear" w:color="auto" w:fill="auto"/>
          </w:tcPr>
          <w:p w14:paraId="432EC641"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747895B5" w14:textId="77777777" w:rsidR="00A72861" w:rsidRDefault="00A72861" w:rsidP="00A72861"/>
        </w:tc>
      </w:tr>
      <w:tr w:rsidR="00A72861" w14:paraId="3DC3B85F" w14:textId="77777777" w:rsidTr="002F0CD7">
        <w:trPr>
          <w:cantSplit/>
        </w:trPr>
        <w:tc>
          <w:tcPr>
            <w:tcW w:w="4849" w:type="dxa"/>
            <w:tcBorders>
              <w:left w:val="single" w:sz="4" w:space="0" w:color="000000"/>
            </w:tcBorders>
            <w:shd w:val="clear" w:color="auto" w:fill="auto"/>
          </w:tcPr>
          <w:p w14:paraId="1237BB4E" w14:textId="77777777" w:rsidR="00A72861" w:rsidRDefault="00A72861" w:rsidP="00A72861">
            <w:pPr>
              <w:pStyle w:val="TableContents"/>
            </w:pPr>
          </w:p>
        </w:tc>
        <w:tc>
          <w:tcPr>
            <w:tcW w:w="5811" w:type="dxa"/>
            <w:tcBorders>
              <w:left w:val="single" w:sz="4" w:space="0" w:color="000000"/>
            </w:tcBorders>
            <w:shd w:val="clear" w:color="auto" w:fill="auto"/>
          </w:tcPr>
          <w:p w14:paraId="7F1952BC" w14:textId="7DE5948A" w:rsidR="00A72861" w:rsidRDefault="00A72861" w:rsidP="00A72861">
            <w:pPr>
              <w:pStyle w:val="TableContents"/>
            </w:pPr>
            <w:r>
              <w:rPr>
                <w:vertAlign w:val="superscript"/>
              </w:rPr>
              <w:t>2bis</w:t>
            </w:r>
            <w:r>
              <w:t> Artikel 6a des vorliegenden Gesetzes bleibt vorbehalten.</w:t>
            </w:r>
          </w:p>
        </w:tc>
        <w:tc>
          <w:tcPr>
            <w:tcW w:w="4194" w:type="dxa"/>
            <w:tcBorders>
              <w:left w:val="single" w:sz="4" w:space="0" w:color="000000"/>
              <w:right w:val="single" w:sz="4" w:space="0" w:color="000000"/>
            </w:tcBorders>
            <w:shd w:val="clear" w:color="auto" w:fill="auto"/>
          </w:tcPr>
          <w:p w14:paraId="0987E75E" w14:textId="77777777" w:rsidR="00A72861" w:rsidRDefault="00A72861" w:rsidP="00A72861"/>
        </w:tc>
      </w:tr>
      <w:tr w:rsidR="00A72861" w14:paraId="7A3135C5" w14:textId="77777777" w:rsidTr="002F0CD7">
        <w:trPr>
          <w:cantSplit/>
        </w:trPr>
        <w:tc>
          <w:tcPr>
            <w:tcW w:w="4849" w:type="dxa"/>
            <w:tcBorders>
              <w:left w:val="single" w:sz="4" w:space="0" w:color="000000"/>
            </w:tcBorders>
            <w:shd w:val="clear" w:color="auto" w:fill="auto"/>
          </w:tcPr>
          <w:p w14:paraId="1884E955" w14:textId="77777777" w:rsidR="00A72861" w:rsidRDefault="00A72861" w:rsidP="00A72861">
            <w:pPr>
              <w:pStyle w:val="TableContents"/>
            </w:pPr>
            <w:r>
              <w:rPr>
                <w:vertAlign w:val="superscript"/>
              </w:rPr>
              <w:t>3</w:t>
            </w:r>
            <w:r>
              <w:t> Die Gemeinden der betroffenen Region können diese Beteiligung unter sich aufteilen.</w:t>
            </w:r>
          </w:p>
        </w:tc>
        <w:tc>
          <w:tcPr>
            <w:tcW w:w="5811" w:type="dxa"/>
            <w:tcBorders>
              <w:left w:val="single" w:sz="4" w:space="0" w:color="000000"/>
            </w:tcBorders>
            <w:shd w:val="clear" w:color="auto" w:fill="auto"/>
          </w:tcPr>
          <w:p w14:paraId="3DF82D08"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74E46CDC" w14:textId="77777777" w:rsidR="00A72861" w:rsidRDefault="00A72861" w:rsidP="00A72861"/>
        </w:tc>
      </w:tr>
      <w:tr w:rsidR="00A72861" w14:paraId="283A990D" w14:textId="77777777" w:rsidTr="002F0CD7">
        <w:trPr>
          <w:cantSplit/>
        </w:trPr>
        <w:tc>
          <w:tcPr>
            <w:tcW w:w="4849" w:type="dxa"/>
            <w:tcBorders>
              <w:left w:val="single" w:sz="4" w:space="0" w:color="000000"/>
            </w:tcBorders>
            <w:shd w:val="clear" w:color="auto" w:fill="auto"/>
          </w:tcPr>
          <w:p w14:paraId="4CE8BE87" w14:textId="77777777" w:rsidR="00A72861" w:rsidRDefault="00A72861" w:rsidP="00A72861">
            <w:pPr>
              <w:pStyle w:val="TableContents"/>
            </w:pPr>
          </w:p>
        </w:tc>
        <w:tc>
          <w:tcPr>
            <w:tcW w:w="5811" w:type="dxa"/>
            <w:tcBorders>
              <w:left w:val="single" w:sz="4" w:space="0" w:color="000000"/>
            </w:tcBorders>
            <w:shd w:val="clear" w:color="auto" w:fill="auto"/>
          </w:tcPr>
          <w:p w14:paraId="3368877F" w14:textId="77777777" w:rsidR="00A72861" w:rsidRDefault="00A72861" w:rsidP="00A72861">
            <w:pPr>
              <w:pStyle w:val="TableContents"/>
            </w:pPr>
            <w:r>
              <w:rPr>
                <w:vertAlign w:val="superscript"/>
              </w:rPr>
              <w:t>4</w:t>
            </w:r>
            <w:r>
              <w:t> Ein Reglement des Staatsrats legt die Grundlagen zur Berechnung der Beteiligung der Gemeinden an den Investitions- und Mietkosten fest.</w:t>
            </w:r>
          </w:p>
          <w:p w14:paraId="3916A32C" w14:textId="77777777" w:rsidR="002100B8" w:rsidRDefault="002100B8" w:rsidP="00A72861">
            <w:pPr>
              <w:pStyle w:val="TableContents"/>
            </w:pPr>
          </w:p>
          <w:p w14:paraId="08DA2232" w14:textId="77777777" w:rsidR="002100B8" w:rsidRDefault="002100B8" w:rsidP="00A72861">
            <w:pPr>
              <w:pStyle w:val="TableContents"/>
            </w:pPr>
          </w:p>
          <w:p w14:paraId="07863BFA" w14:textId="77777777" w:rsidR="002100B8" w:rsidRDefault="002100B8" w:rsidP="00A72861">
            <w:pPr>
              <w:pStyle w:val="TableContents"/>
            </w:pPr>
          </w:p>
          <w:p w14:paraId="768B0369" w14:textId="77777777" w:rsidR="002100B8" w:rsidRDefault="002100B8" w:rsidP="00A72861">
            <w:pPr>
              <w:pStyle w:val="TableContents"/>
            </w:pPr>
          </w:p>
          <w:p w14:paraId="0E6172F3" w14:textId="77777777" w:rsidR="002100B8" w:rsidRDefault="002100B8" w:rsidP="00A72861">
            <w:pPr>
              <w:pStyle w:val="TableContents"/>
            </w:pPr>
          </w:p>
          <w:p w14:paraId="0C6ABD0C" w14:textId="6AAD1DE9" w:rsidR="002100B8" w:rsidRDefault="002100B8" w:rsidP="00A72861">
            <w:pPr>
              <w:pStyle w:val="TableContents"/>
            </w:pPr>
          </w:p>
        </w:tc>
        <w:tc>
          <w:tcPr>
            <w:tcW w:w="4194" w:type="dxa"/>
            <w:tcBorders>
              <w:left w:val="single" w:sz="4" w:space="0" w:color="000000"/>
              <w:right w:val="single" w:sz="4" w:space="0" w:color="000000"/>
            </w:tcBorders>
            <w:shd w:val="clear" w:color="auto" w:fill="auto"/>
          </w:tcPr>
          <w:p w14:paraId="75E33379" w14:textId="77777777" w:rsidR="00A72861" w:rsidRDefault="00A72861" w:rsidP="00A72861"/>
        </w:tc>
      </w:tr>
      <w:tr w:rsidR="00A72861" w14:paraId="12D8C795" w14:textId="77777777" w:rsidTr="002F0CD7">
        <w:trPr>
          <w:cantSplit/>
        </w:trPr>
        <w:tc>
          <w:tcPr>
            <w:tcW w:w="4849" w:type="dxa"/>
            <w:tcBorders>
              <w:top w:val="single" w:sz="4" w:space="0" w:color="000000"/>
              <w:left w:val="single" w:sz="4" w:space="0" w:color="000000"/>
            </w:tcBorders>
            <w:shd w:val="clear" w:color="auto" w:fill="auto"/>
          </w:tcPr>
          <w:p w14:paraId="6B0E575E" w14:textId="77777777" w:rsidR="00A72861" w:rsidRDefault="00A72861" w:rsidP="00A72861">
            <w:pPr>
              <w:pStyle w:val="TableContents"/>
            </w:pPr>
            <w:r>
              <w:rPr>
                <w:b/>
                <w:bCs/>
              </w:rPr>
              <w:lastRenderedPageBreak/>
              <w:t>Art.  6</w:t>
            </w:r>
            <w:r>
              <w:br/>
            </w:r>
            <w:r w:rsidRPr="00DC5A22">
              <w:rPr>
                <w:b/>
              </w:rPr>
              <w:t>Beitrag der Gemeinden an den Betriebskosten</w:t>
            </w:r>
          </w:p>
        </w:tc>
        <w:tc>
          <w:tcPr>
            <w:tcW w:w="5811" w:type="dxa"/>
            <w:tcBorders>
              <w:top w:val="single" w:sz="4" w:space="0" w:color="000000"/>
              <w:left w:val="single" w:sz="4" w:space="0" w:color="000000"/>
            </w:tcBorders>
            <w:shd w:val="clear" w:color="auto" w:fill="auto"/>
          </w:tcPr>
          <w:p w14:paraId="203AB493" w14:textId="36BE00E0" w:rsidR="00A72861" w:rsidRDefault="00A72861" w:rsidP="00A72861">
            <w:pPr>
              <w:pStyle w:val="TableContents"/>
            </w:pPr>
            <w:r>
              <w:rPr>
                <w:b/>
                <w:bCs/>
              </w:rPr>
              <w:t>Art.  6</w:t>
            </w:r>
            <w:r>
              <w:br/>
            </w:r>
            <w:r>
              <w:rPr>
                <w:sz w:val="14"/>
              </w:rPr>
              <w:t>Beteiligung der Gemeinden an den Betriebskosten</w:t>
            </w:r>
          </w:p>
        </w:tc>
        <w:tc>
          <w:tcPr>
            <w:tcW w:w="4194" w:type="dxa"/>
            <w:tcBorders>
              <w:top w:val="single" w:sz="4" w:space="0" w:color="000000"/>
              <w:left w:val="single" w:sz="4" w:space="0" w:color="000000"/>
              <w:right w:val="single" w:sz="4" w:space="0" w:color="000000"/>
            </w:tcBorders>
            <w:shd w:val="clear" w:color="auto" w:fill="auto"/>
          </w:tcPr>
          <w:p w14:paraId="072E35F6" w14:textId="77777777" w:rsidR="00A72861" w:rsidRDefault="00A72861" w:rsidP="00A72861"/>
        </w:tc>
      </w:tr>
      <w:tr w:rsidR="00A72861" w14:paraId="1AB24691" w14:textId="77777777" w:rsidTr="002F0CD7">
        <w:trPr>
          <w:cantSplit/>
        </w:trPr>
        <w:tc>
          <w:tcPr>
            <w:tcW w:w="4849" w:type="dxa"/>
            <w:tcBorders>
              <w:left w:val="single" w:sz="4" w:space="0" w:color="000000"/>
            </w:tcBorders>
            <w:shd w:val="clear" w:color="auto" w:fill="auto"/>
          </w:tcPr>
          <w:p w14:paraId="216D4EDC" w14:textId="77777777" w:rsidR="00A72861" w:rsidRDefault="00A72861" w:rsidP="00A72861">
            <w:pPr>
              <w:pStyle w:val="TableContents"/>
            </w:pPr>
            <w:r>
              <w:rPr>
                <w:vertAlign w:val="superscript"/>
              </w:rPr>
              <w:t>1</w:t>
            </w:r>
            <w:r>
              <w:t> Die Standortgemeinden beteiligen sich an den Bruttolohnkosten, einschliesslich Soziallastenanteil des Arbeitgebers, des für den Grundunterricht und die Forschung und Entwicklung verantwortlichen Lehr- und Direktionspersonals.</w:t>
            </w:r>
          </w:p>
        </w:tc>
        <w:tc>
          <w:tcPr>
            <w:tcW w:w="5811" w:type="dxa"/>
            <w:tcBorders>
              <w:left w:val="single" w:sz="4" w:space="0" w:color="000000"/>
            </w:tcBorders>
            <w:shd w:val="clear" w:color="auto" w:fill="auto"/>
          </w:tcPr>
          <w:p w14:paraId="79771C72" w14:textId="323450FE" w:rsidR="00A72861" w:rsidRDefault="00A72861" w:rsidP="00A72861">
            <w:pPr>
              <w:pStyle w:val="TableContents"/>
            </w:pPr>
            <w:r>
              <w:rPr>
                <w:vertAlign w:val="superscript"/>
              </w:rPr>
              <w:t>1</w:t>
            </w:r>
            <w:r>
              <w:t> Die Gemeinden, in denen Gebäude für kantonale Bildungs- und Forschungseinrichtungen der Tertiärstufe errichtet werden, die vom Staat Wallis finanziert oder subventioniert werden, beteiligen sich an den Betriebskosten in der Höhe von 10 Prozent der Beiträge für Bildung und Forschung, die vom Kanton Wallis und vom Bund gezahlt werden. Artikel 6a des vorliegenden Gesetzes bleibt vorbehalten.</w:t>
            </w:r>
          </w:p>
        </w:tc>
        <w:tc>
          <w:tcPr>
            <w:tcW w:w="4194" w:type="dxa"/>
            <w:tcBorders>
              <w:left w:val="single" w:sz="4" w:space="0" w:color="000000"/>
              <w:right w:val="single" w:sz="4" w:space="0" w:color="000000"/>
            </w:tcBorders>
            <w:shd w:val="clear" w:color="auto" w:fill="auto"/>
          </w:tcPr>
          <w:p w14:paraId="698B290A" w14:textId="77777777" w:rsidR="00A72861" w:rsidRDefault="00A72861" w:rsidP="00A72861"/>
        </w:tc>
      </w:tr>
      <w:tr w:rsidR="00A72861" w14:paraId="5276DA55" w14:textId="77777777" w:rsidTr="002F0CD7">
        <w:trPr>
          <w:cantSplit/>
        </w:trPr>
        <w:tc>
          <w:tcPr>
            <w:tcW w:w="4849" w:type="dxa"/>
            <w:tcBorders>
              <w:left w:val="single" w:sz="4" w:space="0" w:color="000000"/>
            </w:tcBorders>
            <w:shd w:val="clear" w:color="auto" w:fill="auto"/>
          </w:tcPr>
          <w:p w14:paraId="4449EBA9" w14:textId="77777777" w:rsidR="00A72861" w:rsidRDefault="00A72861" w:rsidP="00A72861">
            <w:pPr>
              <w:pStyle w:val="TableContents"/>
            </w:pPr>
            <w:r>
              <w:rPr>
                <w:vertAlign w:val="superscript"/>
              </w:rPr>
              <w:t>2</w:t>
            </w:r>
            <w:r>
              <w:t> Unter die betroffenen Schulen fallen die vom Staat Wallis finanzierten oder subventionierten Bildungs- und Forschungsstätten des Tertiärbereichs.</w:t>
            </w:r>
          </w:p>
        </w:tc>
        <w:tc>
          <w:tcPr>
            <w:tcW w:w="5811" w:type="dxa"/>
            <w:tcBorders>
              <w:left w:val="single" w:sz="4" w:space="0" w:color="000000"/>
            </w:tcBorders>
            <w:shd w:val="clear" w:color="auto" w:fill="auto"/>
          </w:tcPr>
          <w:p w14:paraId="62E29B11" w14:textId="1C13DBEB" w:rsidR="00A72861" w:rsidRDefault="00A72861" w:rsidP="00A72861">
            <w:pPr>
              <w:pStyle w:val="TableContents"/>
            </w:pPr>
            <w:r>
              <w:rPr>
                <w:vertAlign w:val="superscript"/>
              </w:rPr>
              <w:t>2</w:t>
            </w:r>
            <w:r>
              <w:t> Befindet sich eine Bildungs- und Forschungseinrichtung der Tertiärstufe auf dem Gebiet von mehreren Gemeinden (verschiedene Standorte), so wird die Beteiligung der Gemeinden auf die verschiedenen Standortgemeinden aufgeteilt und zwar je nach Anzahl Vollzeitäquivalenten (VZÄ) beim Lehr-, Forschungs- und Direktionspersonal, die gemäss Anstellungsbedingungen den verschiedenen Standorten zugewiesen sind.</w:t>
            </w:r>
          </w:p>
        </w:tc>
        <w:tc>
          <w:tcPr>
            <w:tcW w:w="4194" w:type="dxa"/>
            <w:tcBorders>
              <w:left w:val="single" w:sz="4" w:space="0" w:color="000000"/>
              <w:right w:val="single" w:sz="4" w:space="0" w:color="000000"/>
            </w:tcBorders>
            <w:shd w:val="clear" w:color="auto" w:fill="auto"/>
          </w:tcPr>
          <w:p w14:paraId="2A63D1DD" w14:textId="77777777" w:rsidR="00A72861" w:rsidRDefault="00A72861" w:rsidP="00A72861"/>
        </w:tc>
      </w:tr>
      <w:tr w:rsidR="00A72861" w14:paraId="431C18B0" w14:textId="77777777" w:rsidTr="002F0CD7">
        <w:trPr>
          <w:cantSplit/>
        </w:trPr>
        <w:tc>
          <w:tcPr>
            <w:tcW w:w="4849" w:type="dxa"/>
            <w:tcBorders>
              <w:left w:val="single" w:sz="4" w:space="0" w:color="000000"/>
            </w:tcBorders>
            <w:shd w:val="clear" w:color="auto" w:fill="auto"/>
          </w:tcPr>
          <w:p w14:paraId="34A2E0EC" w14:textId="77777777" w:rsidR="00A72861" w:rsidRDefault="00A72861" w:rsidP="00A72861">
            <w:pPr>
              <w:pStyle w:val="TableContents"/>
            </w:pPr>
            <w:r>
              <w:rPr>
                <w:vertAlign w:val="superscript"/>
              </w:rPr>
              <w:t>3</w:t>
            </w:r>
            <w:r>
              <w:t> Die Standortgemeinden beteiligen sich an der gemäss Absatz 1 definierten Lohnmasse der Gemeinde in Höhe von zehn Prozent.</w:t>
            </w:r>
          </w:p>
        </w:tc>
        <w:tc>
          <w:tcPr>
            <w:tcW w:w="5811" w:type="dxa"/>
            <w:tcBorders>
              <w:left w:val="single" w:sz="4" w:space="0" w:color="000000"/>
            </w:tcBorders>
            <w:shd w:val="clear" w:color="auto" w:fill="auto"/>
          </w:tcPr>
          <w:p w14:paraId="679B82BE" w14:textId="40E89053" w:rsidR="00A72861" w:rsidRDefault="00A72861" w:rsidP="00A72861">
            <w:pPr>
              <w:pStyle w:val="TableContents"/>
            </w:pPr>
            <w:r>
              <w:rPr>
                <w:vertAlign w:val="superscript"/>
              </w:rPr>
              <w:t>3</w:t>
            </w:r>
            <w:r>
              <w:t> Befindet sich eine Bildungs- und Forschungseinrichtung der Tertiärstufe hauptsächlich im Fernstudium auf dem Gebiet von mehreren Gemeinden (verschiedene Standorte), so wird die Beteiligung der Gemeinden auf die verschiedenen Standortgemeinden aufgeteilt und zwar je nach Anzahl Vollzeitäquivalenten (VZÄ) beim physisch an den verschiedenen Standorten anwesenden Lehr-, Forschungs- und Direktionspersonals (mit Arbeitsplatz).</w:t>
            </w:r>
          </w:p>
        </w:tc>
        <w:tc>
          <w:tcPr>
            <w:tcW w:w="4194" w:type="dxa"/>
            <w:tcBorders>
              <w:left w:val="single" w:sz="4" w:space="0" w:color="000000"/>
              <w:right w:val="single" w:sz="4" w:space="0" w:color="000000"/>
            </w:tcBorders>
            <w:shd w:val="clear" w:color="auto" w:fill="auto"/>
          </w:tcPr>
          <w:p w14:paraId="53F39807" w14:textId="77777777" w:rsidR="00A72861" w:rsidRDefault="00A72861" w:rsidP="00A72861"/>
        </w:tc>
      </w:tr>
      <w:tr w:rsidR="00A72861" w14:paraId="70029AA9" w14:textId="77777777" w:rsidTr="002F0CD7">
        <w:trPr>
          <w:cantSplit/>
        </w:trPr>
        <w:tc>
          <w:tcPr>
            <w:tcW w:w="4849" w:type="dxa"/>
            <w:tcBorders>
              <w:left w:val="single" w:sz="4" w:space="0" w:color="000000"/>
            </w:tcBorders>
            <w:shd w:val="clear" w:color="auto" w:fill="auto"/>
          </w:tcPr>
          <w:p w14:paraId="27EBF11B" w14:textId="77777777" w:rsidR="00A72861" w:rsidRDefault="00A72861" w:rsidP="00A72861">
            <w:pPr>
              <w:pStyle w:val="TableContents"/>
            </w:pPr>
            <w:r>
              <w:rPr>
                <w:vertAlign w:val="superscript"/>
              </w:rPr>
              <w:t>4</w:t>
            </w:r>
            <w:r>
              <w:t> Die Gemeinden der betroffenen Region können diese Beteiligung unter sich aufteilen.</w:t>
            </w:r>
          </w:p>
        </w:tc>
        <w:tc>
          <w:tcPr>
            <w:tcW w:w="5811" w:type="dxa"/>
            <w:tcBorders>
              <w:left w:val="single" w:sz="4" w:space="0" w:color="000000"/>
            </w:tcBorders>
            <w:shd w:val="clear" w:color="auto" w:fill="auto"/>
          </w:tcPr>
          <w:p w14:paraId="218D5222"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4594941B" w14:textId="77777777" w:rsidR="00A72861" w:rsidRDefault="00A72861" w:rsidP="00A72861"/>
        </w:tc>
      </w:tr>
      <w:tr w:rsidR="00A72861" w14:paraId="6B672B33" w14:textId="77777777" w:rsidTr="002F0CD7">
        <w:trPr>
          <w:cantSplit/>
        </w:trPr>
        <w:tc>
          <w:tcPr>
            <w:tcW w:w="4849" w:type="dxa"/>
            <w:tcBorders>
              <w:left w:val="single" w:sz="4" w:space="0" w:color="000000"/>
            </w:tcBorders>
            <w:shd w:val="clear" w:color="auto" w:fill="auto"/>
          </w:tcPr>
          <w:p w14:paraId="2EF430D8" w14:textId="77777777" w:rsidR="00A72861" w:rsidRDefault="00A72861" w:rsidP="00A72861">
            <w:pPr>
              <w:pStyle w:val="TableContents"/>
            </w:pPr>
          </w:p>
        </w:tc>
        <w:tc>
          <w:tcPr>
            <w:tcW w:w="5811" w:type="dxa"/>
            <w:tcBorders>
              <w:left w:val="single" w:sz="4" w:space="0" w:color="000000"/>
            </w:tcBorders>
            <w:shd w:val="clear" w:color="auto" w:fill="auto"/>
          </w:tcPr>
          <w:p w14:paraId="0901388D" w14:textId="77777777" w:rsidR="00A72861" w:rsidRDefault="00A72861" w:rsidP="00A72861">
            <w:pPr>
              <w:pStyle w:val="TableContents"/>
            </w:pPr>
            <w:r>
              <w:rPr>
                <w:vertAlign w:val="superscript"/>
              </w:rPr>
              <w:t>5</w:t>
            </w:r>
            <w:r>
              <w:t> Ein Reglement des Staatsrats legt die Grundlagen zur Berechnung der Beteiligung der Gemeinden an den Betriebskosten fest.</w:t>
            </w:r>
          </w:p>
          <w:p w14:paraId="7BBC2670" w14:textId="77777777" w:rsidR="002100B8" w:rsidRDefault="002100B8" w:rsidP="00A72861">
            <w:pPr>
              <w:pStyle w:val="TableContents"/>
            </w:pPr>
          </w:p>
          <w:p w14:paraId="2DFF478E" w14:textId="77777777" w:rsidR="002100B8" w:rsidRDefault="002100B8" w:rsidP="00A72861">
            <w:pPr>
              <w:pStyle w:val="TableContents"/>
            </w:pPr>
          </w:p>
          <w:p w14:paraId="6902943A" w14:textId="46C9278E" w:rsidR="002100B8" w:rsidRDefault="002100B8" w:rsidP="00A72861">
            <w:pPr>
              <w:pStyle w:val="TableContents"/>
            </w:pPr>
          </w:p>
        </w:tc>
        <w:tc>
          <w:tcPr>
            <w:tcW w:w="4194" w:type="dxa"/>
            <w:tcBorders>
              <w:left w:val="single" w:sz="4" w:space="0" w:color="000000"/>
              <w:right w:val="single" w:sz="4" w:space="0" w:color="000000"/>
            </w:tcBorders>
            <w:shd w:val="clear" w:color="auto" w:fill="auto"/>
          </w:tcPr>
          <w:p w14:paraId="22FD5308" w14:textId="77777777" w:rsidR="00A72861" w:rsidRDefault="00A72861" w:rsidP="00A72861"/>
        </w:tc>
      </w:tr>
      <w:tr w:rsidR="00A72861" w14:paraId="212A5E70" w14:textId="77777777" w:rsidTr="002F0CD7">
        <w:trPr>
          <w:cantSplit/>
        </w:trPr>
        <w:tc>
          <w:tcPr>
            <w:tcW w:w="4849" w:type="dxa"/>
            <w:tcBorders>
              <w:top w:val="single" w:sz="4" w:space="0" w:color="000000"/>
              <w:left w:val="single" w:sz="4" w:space="0" w:color="000000"/>
            </w:tcBorders>
            <w:shd w:val="clear" w:color="auto" w:fill="auto"/>
          </w:tcPr>
          <w:p w14:paraId="6FF146CD" w14:textId="77777777" w:rsidR="00A72861" w:rsidRDefault="00A72861" w:rsidP="00A72861">
            <w:pPr>
              <w:pStyle w:val="TableContents"/>
            </w:pPr>
          </w:p>
        </w:tc>
        <w:tc>
          <w:tcPr>
            <w:tcW w:w="5811" w:type="dxa"/>
            <w:tcBorders>
              <w:top w:val="single" w:sz="4" w:space="0" w:color="000000"/>
              <w:left w:val="single" w:sz="4" w:space="0" w:color="000000"/>
            </w:tcBorders>
            <w:shd w:val="clear" w:color="auto" w:fill="auto"/>
          </w:tcPr>
          <w:p w14:paraId="1636094E" w14:textId="4EBC8473" w:rsidR="00A72861" w:rsidRDefault="00A72861" w:rsidP="00A72861">
            <w:pPr>
              <w:pStyle w:val="TableContents"/>
            </w:pPr>
            <w:r>
              <w:rPr>
                <w:b/>
                <w:bCs/>
              </w:rPr>
              <w:t>Art.  6a</w:t>
            </w:r>
            <w:r>
              <w:br/>
            </w:r>
            <w:r>
              <w:rPr>
                <w:sz w:val="14"/>
              </w:rPr>
              <w:t>Beteiligung der Gemeinden an den Investitions- und Mietkosten und an den Betriebskosten in Sonderfällen</w:t>
            </w:r>
          </w:p>
        </w:tc>
        <w:tc>
          <w:tcPr>
            <w:tcW w:w="4194" w:type="dxa"/>
            <w:tcBorders>
              <w:top w:val="single" w:sz="4" w:space="0" w:color="000000"/>
              <w:left w:val="single" w:sz="4" w:space="0" w:color="000000"/>
              <w:right w:val="single" w:sz="4" w:space="0" w:color="000000"/>
            </w:tcBorders>
            <w:shd w:val="clear" w:color="auto" w:fill="auto"/>
          </w:tcPr>
          <w:p w14:paraId="320FBF4B" w14:textId="77777777" w:rsidR="00A72861" w:rsidRDefault="00A72861" w:rsidP="00A72861"/>
        </w:tc>
      </w:tr>
      <w:tr w:rsidR="00A72861" w14:paraId="1B0A6580" w14:textId="77777777" w:rsidTr="002F0CD7">
        <w:trPr>
          <w:cantSplit/>
        </w:trPr>
        <w:tc>
          <w:tcPr>
            <w:tcW w:w="4849" w:type="dxa"/>
            <w:tcBorders>
              <w:left w:val="single" w:sz="4" w:space="0" w:color="000000"/>
            </w:tcBorders>
            <w:shd w:val="clear" w:color="auto" w:fill="auto"/>
          </w:tcPr>
          <w:p w14:paraId="7175BF62" w14:textId="77777777" w:rsidR="00A72861" w:rsidRDefault="00A72861" w:rsidP="00A72861">
            <w:pPr>
              <w:pStyle w:val="TableContents"/>
            </w:pPr>
          </w:p>
        </w:tc>
        <w:tc>
          <w:tcPr>
            <w:tcW w:w="5811" w:type="dxa"/>
            <w:tcBorders>
              <w:left w:val="single" w:sz="4" w:space="0" w:color="000000"/>
            </w:tcBorders>
            <w:shd w:val="clear" w:color="auto" w:fill="auto"/>
          </w:tcPr>
          <w:p w14:paraId="4D3C047E" w14:textId="313221AB" w:rsidR="00A72861" w:rsidRDefault="00A72861" w:rsidP="00A72861">
            <w:pPr>
              <w:pStyle w:val="TableContents"/>
            </w:pPr>
            <w:r>
              <w:rPr>
                <w:vertAlign w:val="superscript"/>
              </w:rPr>
              <w:t>1</w:t>
            </w:r>
            <w:r>
              <w:t> Als Sonderfälle gelten Bildungs- und Forschungseinrichtungen der Tertiärstufe, die kumulativ die nachfolgenden Merkmale aufweisen:</w:t>
            </w:r>
          </w:p>
        </w:tc>
        <w:tc>
          <w:tcPr>
            <w:tcW w:w="4194" w:type="dxa"/>
            <w:tcBorders>
              <w:left w:val="single" w:sz="4" w:space="0" w:color="000000"/>
              <w:right w:val="single" w:sz="4" w:space="0" w:color="000000"/>
            </w:tcBorders>
            <w:shd w:val="clear" w:color="auto" w:fill="auto"/>
          </w:tcPr>
          <w:p w14:paraId="12853336" w14:textId="77777777" w:rsidR="00A72861" w:rsidRDefault="00A72861" w:rsidP="00A72861"/>
        </w:tc>
      </w:tr>
      <w:tr w:rsidR="00A72861" w14:paraId="1E82E0F0" w14:textId="77777777" w:rsidTr="002F0CD7">
        <w:trPr>
          <w:cantSplit/>
        </w:trPr>
        <w:tc>
          <w:tcPr>
            <w:tcW w:w="4849" w:type="dxa"/>
            <w:tcBorders>
              <w:left w:val="single" w:sz="4" w:space="0" w:color="000000"/>
            </w:tcBorders>
            <w:shd w:val="clear" w:color="auto" w:fill="auto"/>
          </w:tcPr>
          <w:p w14:paraId="78E4B2E4" w14:textId="77777777" w:rsidR="00A72861" w:rsidRDefault="00A72861" w:rsidP="00A72861">
            <w:pPr>
              <w:pStyle w:val="TableContents"/>
              <w:ind w:left="149" w:right="3" w:hanging="189"/>
            </w:pPr>
          </w:p>
        </w:tc>
        <w:tc>
          <w:tcPr>
            <w:tcW w:w="5811" w:type="dxa"/>
            <w:tcBorders>
              <w:left w:val="single" w:sz="4" w:space="0" w:color="000000"/>
            </w:tcBorders>
            <w:shd w:val="clear" w:color="auto" w:fill="auto"/>
          </w:tcPr>
          <w:p w14:paraId="78AFDB65" w14:textId="6B427A8E" w:rsidR="00A72861" w:rsidRDefault="00A72861" w:rsidP="00A72861">
            <w:pPr>
              <w:pStyle w:val="TableContents"/>
              <w:ind w:left="149" w:right="3" w:hanging="189"/>
            </w:pPr>
            <w:r>
              <w:t>a) die Einrichtung ist an einem dezentralisierten Standort gelegen, dessen Hauptsitz sich ausserhalb des Kantons Wallis befindet, und</w:t>
            </w:r>
          </w:p>
        </w:tc>
        <w:tc>
          <w:tcPr>
            <w:tcW w:w="4194" w:type="dxa"/>
            <w:tcBorders>
              <w:left w:val="single" w:sz="4" w:space="0" w:color="000000"/>
              <w:right w:val="single" w:sz="4" w:space="0" w:color="000000"/>
            </w:tcBorders>
            <w:shd w:val="clear" w:color="auto" w:fill="auto"/>
          </w:tcPr>
          <w:p w14:paraId="0D80BA97" w14:textId="77777777" w:rsidR="00A72861" w:rsidRDefault="00A72861" w:rsidP="00A72861"/>
        </w:tc>
      </w:tr>
      <w:tr w:rsidR="00A72861" w14:paraId="43C1FA86" w14:textId="77777777" w:rsidTr="002F0CD7">
        <w:trPr>
          <w:cantSplit/>
        </w:trPr>
        <w:tc>
          <w:tcPr>
            <w:tcW w:w="4849" w:type="dxa"/>
            <w:tcBorders>
              <w:left w:val="single" w:sz="4" w:space="0" w:color="000000"/>
            </w:tcBorders>
            <w:shd w:val="clear" w:color="auto" w:fill="auto"/>
          </w:tcPr>
          <w:p w14:paraId="1DFC25DD" w14:textId="77777777" w:rsidR="00A72861" w:rsidRDefault="00A72861" w:rsidP="00A72861">
            <w:pPr>
              <w:pStyle w:val="TableContents"/>
              <w:ind w:left="149" w:right="3" w:hanging="189"/>
            </w:pPr>
          </w:p>
        </w:tc>
        <w:tc>
          <w:tcPr>
            <w:tcW w:w="5811" w:type="dxa"/>
            <w:tcBorders>
              <w:left w:val="single" w:sz="4" w:space="0" w:color="000000"/>
            </w:tcBorders>
            <w:shd w:val="clear" w:color="auto" w:fill="auto"/>
          </w:tcPr>
          <w:p w14:paraId="6D455E7B" w14:textId="706486D4" w:rsidR="00A72861" w:rsidRDefault="00A72861" w:rsidP="00A72861">
            <w:pPr>
              <w:pStyle w:val="TableContents"/>
              <w:ind w:left="149" w:right="3" w:hanging="189"/>
            </w:pPr>
            <w:r>
              <w:t>b) der Staat Wallis subventioniert diese Einrichtung ohne Entscheidungsbefugnis über die Steuerung der Ausgaben im Sinne der Artikel 5 und 6 des vorliegenden Gesetzes.</w:t>
            </w:r>
          </w:p>
        </w:tc>
        <w:tc>
          <w:tcPr>
            <w:tcW w:w="4194" w:type="dxa"/>
            <w:tcBorders>
              <w:left w:val="single" w:sz="4" w:space="0" w:color="000000"/>
              <w:right w:val="single" w:sz="4" w:space="0" w:color="000000"/>
            </w:tcBorders>
            <w:shd w:val="clear" w:color="auto" w:fill="auto"/>
          </w:tcPr>
          <w:p w14:paraId="194694AA" w14:textId="77777777" w:rsidR="00A72861" w:rsidRDefault="00A72861" w:rsidP="00A72861"/>
        </w:tc>
      </w:tr>
      <w:tr w:rsidR="00A72861" w14:paraId="1521B671" w14:textId="77777777" w:rsidTr="002F0CD7">
        <w:trPr>
          <w:cantSplit/>
        </w:trPr>
        <w:tc>
          <w:tcPr>
            <w:tcW w:w="4849" w:type="dxa"/>
            <w:tcBorders>
              <w:left w:val="single" w:sz="4" w:space="0" w:color="000000"/>
            </w:tcBorders>
            <w:shd w:val="clear" w:color="auto" w:fill="auto"/>
          </w:tcPr>
          <w:p w14:paraId="03B4CC70" w14:textId="77777777" w:rsidR="00A72861" w:rsidRDefault="00A72861" w:rsidP="00A72861">
            <w:pPr>
              <w:pStyle w:val="TableContents"/>
            </w:pPr>
          </w:p>
        </w:tc>
        <w:tc>
          <w:tcPr>
            <w:tcW w:w="5811" w:type="dxa"/>
            <w:tcBorders>
              <w:left w:val="single" w:sz="4" w:space="0" w:color="000000"/>
            </w:tcBorders>
            <w:shd w:val="clear" w:color="auto" w:fill="auto"/>
          </w:tcPr>
          <w:p w14:paraId="4A138B6D" w14:textId="5B956CEC" w:rsidR="00A72861" w:rsidRDefault="00A72861" w:rsidP="00A72861">
            <w:pPr>
              <w:pStyle w:val="TableContents"/>
            </w:pPr>
            <w:r>
              <w:rPr>
                <w:vertAlign w:val="superscript"/>
              </w:rPr>
              <w:t>2</w:t>
            </w:r>
            <w:r>
              <w:t> In den Sonderfällen, die unter Absatz 1 dieses Artikels definiert sind, kann der Staatsrat eine Anpassung der Berechnungsgrundlage der Beteiligung der Gemeinden sowie besondere Zahlungsmodalitäten beschliessen. Die Berechnungsmethode zur Festlegung der Beteiligung der Gemeinden muss den Grundsatz der Gleichbehandlung der verschiedenen Standortgemeinden einhalten.</w:t>
            </w:r>
          </w:p>
        </w:tc>
        <w:tc>
          <w:tcPr>
            <w:tcW w:w="4194" w:type="dxa"/>
            <w:tcBorders>
              <w:left w:val="single" w:sz="4" w:space="0" w:color="000000"/>
              <w:right w:val="single" w:sz="4" w:space="0" w:color="000000"/>
            </w:tcBorders>
            <w:shd w:val="clear" w:color="auto" w:fill="auto"/>
          </w:tcPr>
          <w:p w14:paraId="6AD8AAEA" w14:textId="77777777" w:rsidR="00A72861" w:rsidRDefault="00A72861" w:rsidP="00A72861"/>
        </w:tc>
      </w:tr>
      <w:tr w:rsidR="00A72861" w14:paraId="20B5BA4B" w14:textId="77777777" w:rsidTr="002F0CD7">
        <w:trPr>
          <w:cantSplit/>
        </w:trPr>
        <w:tc>
          <w:tcPr>
            <w:tcW w:w="4849" w:type="dxa"/>
            <w:tcBorders>
              <w:top w:val="single" w:sz="4" w:space="0" w:color="000000"/>
              <w:left w:val="single" w:sz="4" w:space="0" w:color="000000"/>
            </w:tcBorders>
            <w:shd w:val="clear" w:color="auto" w:fill="auto"/>
          </w:tcPr>
          <w:p w14:paraId="4960C206" w14:textId="77777777" w:rsidR="00A72861" w:rsidRDefault="00A72861" w:rsidP="00A72861">
            <w:pPr>
              <w:pStyle w:val="TableContents"/>
            </w:pPr>
          </w:p>
        </w:tc>
        <w:tc>
          <w:tcPr>
            <w:tcW w:w="5811" w:type="dxa"/>
            <w:tcBorders>
              <w:top w:val="single" w:sz="4" w:space="0" w:color="000000"/>
              <w:left w:val="single" w:sz="4" w:space="0" w:color="000000"/>
            </w:tcBorders>
            <w:shd w:val="clear" w:color="auto" w:fill="auto"/>
          </w:tcPr>
          <w:p w14:paraId="20004A21" w14:textId="0E8087F5" w:rsidR="00A72861" w:rsidRPr="00DC5A22" w:rsidRDefault="00A72861" w:rsidP="00A72861">
            <w:pPr>
              <w:pStyle w:val="TableContents"/>
              <w:rPr>
                <w:b/>
              </w:rPr>
            </w:pPr>
            <w:r>
              <w:rPr>
                <w:b/>
                <w:bCs/>
              </w:rPr>
              <w:t>Art.  6b</w:t>
            </w:r>
            <w:r>
              <w:br/>
            </w:r>
            <w:r>
              <w:rPr>
                <w:sz w:val="14"/>
              </w:rPr>
              <w:t>Niederlassung einer neuen, kantonalen Bildungs- und Forschungseinrichtung der Tertiärstufe</w:t>
            </w:r>
          </w:p>
        </w:tc>
        <w:tc>
          <w:tcPr>
            <w:tcW w:w="4194" w:type="dxa"/>
            <w:tcBorders>
              <w:top w:val="single" w:sz="4" w:space="0" w:color="000000"/>
              <w:left w:val="single" w:sz="4" w:space="0" w:color="000000"/>
              <w:right w:val="single" w:sz="4" w:space="0" w:color="000000"/>
            </w:tcBorders>
            <w:shd w:val="clear" w:color="auto" w:fill="auto"/>
          </w:tcPr>
          <w:p w14:paraId="4628A7AF" w14:textId="77777777" w:rsidR="00A72861" w:rsidRDefault="00A72861" w:rsidP="00A72861"/>
        </w:tc>
      </w:tr>
      <w:tr w:rsidR="00A72861" w14:paraId="7A08E3AE" w14:textId="77777777" w:rsidTr="002F0CD7">
        <w:trPr>
          <w:cantSplit/>
        </w:trPr>
        <w:tc>
          <w:tcPr>
            <w:tcW w:w="4849" w:type="dxa"/>
            <w:tcBorders>
              <w:left w:val="single" w:sz="4" w:space="0" w:color="000000"/>
            </w:tcBorders>
            <w:shd w:val="clear" w:color="auto" w:fill="auto"/>
          </w:tcPr>
          <w:p w14:paraId="76B8A14A" w14:textId="77777777" w:rsidR="00A72861" w:rsidRDefault="00A72861" w:rsidP="00A72861">
            <w:pPr>
              <w:pStyle w:val="TableContents"/>
            </w:pPr>
          </w:p>
        </w:tc>
        <w:tc>
          <w:tcPr>
            <w:tcW w:w="5811" w:type="dxa"/>
            <w:tcBorders>
              <w:left w:val="single" w:sz="4" w:space="0" w:color="000000"/>
            </w:tcBorders>
            <w:shd w:val="clear" w:color="auto" w:fill="auto"/>
          </w:tcPr>
          <w:p w14:paraId="03565CCB" w14:textId="77777777" w:rsidR="00A72861" w:rsidRDefault="00A72861" w:rsidP="00A72861">
            <w:pPr>
              <w:pStyle w:val="TableContents"/>
            </w:pPr>
            <w:r>
              <w:rPr>
                <w:vertAlign w:val="superscript"/>
              </w:rPr>
              <w:t>1</w:t>
            </w:r>
            <w:r>
              <w:t> Lässt sich eine neue, kantonale Bildungs- und Forschungseinrichtung der Tertiärstufe auf ihrem Gebiet nieder, so geben die betroffene Gemeinde oder die betroffenen Gemeinden ihre Zustimmung.</w:t>
            </w:r>
          </w:p>
          <w:p w14:paraId="7A0F7F49" w14:textId="77777777" w:rsidR="00A72861" w:rsidRDefault="00A72861" w:rsidP="00A72861">
            <w:pPr>
              <w:pStyle w:val="TableContents"/>
            </w:pPr>
          </w:p>
          <w:p w14:paraId="2A1F4AD3" w14:textId="77777777" w:rsidR="00A72861" w:rsidRDefault="00A72861" w:rsidP="00A72861">
            <w:pPr>
              <w:pStyle w:val="TableContents"/>
            </w:pPr>
          </w:p>
          <w:p w14:paraId="3EA4D404" w14:textId="77777777" w:rsidR="00A72861" w:rsidRDefault="00A72861" w:rsidP="00A72861">
            <w:pPr>
              <w:pStyle w:val="TableContents"/>
            </w:pPr>
          </w:p>
          <w:p w14:paraId="429022B8" w14:textId="77777777" w:rsidR="002100B8" w:rsidRDefault="002100B8" w:rsidP="00A72861">
            <w:pPr>
              <w:pStyle w:val="TableContents"/>
            </w:pPr>
          </w:p>
          <w:p w14:paraId="6E819145" w14:textId="77777777" w:rsidR="002100B8" w:rsidRDefault="002100B8" w:rsidP="00A72861">
            <w:pPr>
              <w:pStyle w:val="TableContents"/>
            </w:pPr>
          </w:p>
          <w:p w14:paraId="2410901E" w14:textId="53FEBC10" w:rsidR="002100B8" w:rsidRDefault="002100B8" w:rsidP="00A72861">
            <w:pPr>
              <w:pStyle w:val="TableContents"/>
            </w:pPr>
          </w:p>
        </w:tc>
        <w:tc>
          <w:tcPr>
            <w:tcW w:w="4194" w:type="dxa"/>
            <w:tcBorders>
              <w:left w:val="single" w:sz="4" w:space="0" w:color="000000"/>
              <w:right w:val="single" w:sz="4" w:space="0" w:color="000000"/>
            </w:tcBorders>
            <w:shd w:val="clear" w:color="auto" w:fill="auto"/>
          </w:tcPr>
          <w:p w14:paraId="2A7588AB" w14:textId="77777777" w:rsidR="00A72861" w:rsidRDefault="00A72861" w:rsidP="00A72861"/>
        </w:tc>
      </w:tr>
      <w:tr w:rsidR="00A72861" w14:paraId="24F885EA" w14:textId="77777777" w:rsidTr="002F0CD7">
        <w:trPr>
          <w:cantSplit/>
        </w:trPr>
        <w:tc>
          <w:tcPr>
            <w:tcW w:w="4849" w:type="dxa"/>
            <w:tcBorders>
              <w:top w:val="single" w:sz="4" w:space="0" w:color="000000"/>
              <w:left w:val="single" w:sz="4" w:space="0" w:color="000000"/>
            </w:tcBorders>
            <w:shd w:val="clear" w:color="auto" w:fill="auto"/>
          </w:tcPr>
          <w:p w14:paraId="42138911" w14:textId="77777777" w:rsidR="00A72861" w:rsidRDefault="00A72861" w:rsidP="00A72861">
            <w:pPr>
              <w:pStyle w:val="TableContents"/>
            </w:pPr>
            <w:r>
              <w:rPr>
                <w:b/>
                <w:bCs/>
              </w:rPr>
              <w:lastRenderedPageBreak/>
              <w:t>Art.  7</w:t>
            </w:r>
            <w:r>
              <w:br/>
            </w:r>
            <w:r w:rsidRPr="00DC5A22">
              <w:rPr>
                <w:b/>
              </w:rPr>
              <w:t>Berechnungszeitraum und Zahlung der Beitragssumme</w:t>
            </w:r>
          </w:p>
        </w:tc>
        <w:tc>
          <w:tcPr>
            <w:tcW w:w="5811" w:type="dxa"/>
            <w:tcBorders>
              <w:top w:val="single" w:sz="4" w:space="0" w:color="000000"/>
              <w:left w:val="single" w:sz="4" w:space="0" w:color="000000"/>
            </w:tcBorders>
            <w:shd w:val="clear" w:color="auto" w:fill="auto"/>
          </w:tcPr>
          <w:p w14:paraId="027E1896"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3A81E9F1" w14:textId="77777777" w:rsidR="00A72861" w:rsidRDefault="00A72861" w:rsidP="00A72861"/>
        </w:tc>
      </w:tr>
      <w:tr w:rsidR="00A72861" w14:paraId="24C003E4" w14:textId="77777777" w:rsidTr="002F0CD7">
        <w:trPr>
          <w:cantSplit/>
        </w:trPr>
        <w:tc>
          <w:tcPr>
            <w:tcW w:w="4849" w:type="dxa"/>
            <w:tcBorders>
              <w:left w:val="single" w:sz="4" w:space="0" w:color="000000"/>
            </w:tcBorders>
            <w:shd w:val="clear" w:color="auto" w:fill="auto"/>
          </w:tcPr>
          <w:p w14:paraId="6D3637CC" w14:textId="77777777" w:rsidR="00A72861" w:rsidRDefault="00A72861" w:rsidP="00A72861">
            <w:pPr>
              <w:pStyle w:val="TableContents"/>
            </w:pPr>
            <w:r>
              <w:rPr>
                <w:vertAlign w:val="superscript"/>
              </w:rPr>
              <w:t>1</w:t>
            </w:r>
            <w:r>
              <w:t> Der jährliche Beitrag der Standortgemeinden an den in Artikel 5 Absatz 2 Buchstaben b und c und in Artikel 6 erwähnten Betriebskosten wird aufgrund der Jahresrechnung und pro Kalenderjahr in Rechnung gestellt.</w:t>
            </w:r>
          </w:p>
        </w:tc>
        <w:tc>
          <w:tcPr>
            <w:tcW w:w="5811" w:type="dxa"/>
            <w:tcBorders>
              <w:left w:val="single" w:sz="4" w:space="0" w:color="000000"/>
            </w:tcBorders>
            <w:shd w:val="clear" w:color="auto" w:fill="auto"/>
          </w:tcPr>
          <w:p w14:paraId="54078C7D" w14:textId="5280548D" w:rsidR="00A72861" w:rsidRDefault="00A72861" w:rsidP="00A72861">
            <w:pPr>
              <w:pStyle w:val="TableContents"/>
            </w:pPr>
            <w:r>
              <w:rPr>
                <w:vertAlign w:val="superscript"/>
              </w:rPr>
              <w:t>1</w:t>
            </w:r>
            <w:r>
              <w:t> Der jährliche Beitrag der Standortgemeinden an den in Artikel 5 Absatz 2 Buchstaben b und c erwähnten Kosten und in Artikel 6 erwähnten Betriebskosten wird aufgrund der Jahresrechnung und pro Kalenderjahr in Rechnung gestellt.</w:t>
            </w:r>
          </w:p>
        </w:tc>
        <w:tc>
          <w:tcPr>
            <w:tcW w:w="4194" w:type="dxa"/>
            <w:tcBorders>
              <w:left w:val="single" w:sz="4" w:space="0" w:color="000000"/>
              <w:right w:val="single" w:sz="4" w:space="0" w:color="000000"/>
            </w:tcBorders>
            <w:shd w:val="clear" w:color="auto" w:fill="auto"/>
          </w:tcPr>
          <w:p w14:paraId="40A56928" w14:textId="77777777" w:rsidR="00A72861" w:rsidRDefault="00A72861" w:rsidP="00A72861"/>
        </w:tc>
      </w:tr>
      <w:tr w:rsidR="00A72861" w14:paraId="640C935B" w14:textId="77777777" w:rsidTr="002F0CD7">
        <w:trPr>
          <w:cantSplit/>
        </w:trPr>
        <w:tc>
          <w:tcPr>
            <w:tcW w:w="4849" w:type="dxa"/>
            <w:tcBorders>
              <w:left w:val="single" w:sz="4" w:space="0" w:color="000000"/>
            </w:tcBorders>
            <w:shd w:val="clear" w:color="auto" w:fill="auto"/>
          </w:tcPr>
          <w:p w14:paraId="75620BEE" w14:textId="77777777" w:rsidR="00A72861" w:rsidRDefault="00A72861" w:rsidP="00A72861">
            <w:pPr>
              <w:pStyle w:val="TableContents"/>
            </w:pPr>
            <w:r>
              <w:rPr>
                <w:vertAlign w:val="superscript"/>
              </w:rPr>
              <w:t>2</w:t>
            </w:r>
            <w:r>
              <w:t> Die in Artikel 5 Absatz 2 Buchstabe a vorgesehene Kostenbeteiligung ist in Raten in einem Zeitraum von höchstens drei Jahren ab Nutzung der Räumlichkeiten voll abzugelten.</w:t>
            </w:r>
          </w:p>
        </w:tc>
        <w:tc>
          <w:tcPr>
            <w:tcW w:w="5811" w:type="dxa"/>
            <w:tcBorders>
              <w:left w:val="single" w:sz="4" w:space="0" w:color="000000"/>
            </w:tcBorders>
            <w:shd w:val="clear" w:color="auto" w:fill="auto"/>
          </w:tcPr>
          <w:p w14:paraId="4D709BF3" w14:textId="20388CB3" w:rsidR="00A72861" w:rsidRDefault="00A72861" w:rsidP="00A72861">
            <w:pPr>
              <w:pStyle w:val="TableContents"/>
            </w:pPr>
            <w:r>
              <w:rPr>
                <w:vertAlign w:val="superscript"/>
              </w:rPr>
              <w:t>2</w:t>
            </w:r>
            <w:r>
              <w:t> Die in Artikel 5 Absatz 2 Buchstabe a vorgesehene Kostenbeteiligung ist ab Nutzung der Räumlichkeiten in Raten abzugelten. Die Staffelung der Raten wird vom Staatsrat genehmigt.</w:t>
            </w:r>
          </w:p>
        </w:tc>
        <w:tc>
          <w:tcPr>
            <w:tcW w:w="4194" w:type="dxa"/>
            <w:tcBorders>
              <w:left w:val="single" w:sz="4" w:space="0" w:color="000000"/>
              <w:right w:val="single" w:sz="4" w:space="0" w:color="000000"/>
            </w:tcBorders>
            <w:shd w:val="clear" w:color="auto" w:fill="auto"/>
          </w:tcPr>
          <w:p w14:paraId="741BA818" w14:textId="77777777" w:rsidR="00A72861" w:rsidRDefault="00A72861" w:rsidP="00A72861"/>
        </w:tc>
      </w:tr>
      <w:tr w:rsidR="00A72861" w14:paraId="6DC2FE0F" w14:textId="77777777" w:rsidTr="002F0CD7">
        <w:trPr>
          <w:cantSplit/>
        </w:trPr>
        <w:tc>
          <w:tcPr>
            <w:tcW w:w="4849" w:type="dxa"/>
            <w:tcBorders>
              <w:top w:val="single" w:sz="4" w:space="0" w:color="000000"/>
              <w:left w:val="single" w:sz="4" w:space="0" w:color="000000"/>
            </w:tcBorders>
            <w:shd w:val="clear" w:color="auto" w:fill="auto"/>
          </w:tcPr>
          <w:p w14:paraId="517E06F7" w14:textId="77777777" w:rsidR="00A72861" w:rsidRDefault="00A72861" w:rsidP="00A72861">
            <w:pPr>
              <w:pStyle w:val="TableContents"/>
            </w:pPr>
            <w:r>
              <w:rPr>
                <w:b/>
                <w:bCs/>
              </w:rPr>
              <w:t>Art.  8</w:t>
            </w:r>
            <w:r>
              <w:br/>
            </w:r>
            <w:r w:rsidRPr="00DC5A22">
              <w:rPr>
                <w:b/>
              </w:rPr>
              <w:t>Übergangsbestimmung</w:t>
            </w:r>
          </w:p>
        </w:tc>
        <w:tc>
          <w:tcPr>
            <w:tcW w:w="5811" w:type="dxa"/>
            <w:tcBorders>
              <w:top w:val="single" w:sz="4" w:space="0" w:color="000000"/>
              <w:left w:val="single" w:sz="4" w:space="0" w:color="000000"/>
            </w:tcBorders>
            <w:shd w:val="clear" w:color="auto" w:fill="auto"/>
          </w:tcPr>
          <w:p w14:paraId="6ADE03B3"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6240DF4A" w14:textId="77777777" w:rsidR="00A72861" w:rsidRDefault="00A72861" w:rsidP="00A72861"/>
        </w:tc>
      </w:tr>
      <w:tr w:rsidR="00A72861" w14:paraId="6AE3B086" w14:textId="77777777" w:rsidTr="002F0CD7">
        <w:trPr>
          <w:cantSplit/>
        </w:trPr>
        <w:tc>
          <w:tcPr>
            <w:tcW w:w="4849" w:type="dxa"/>
            <w:tcBorders>
              <w:left w:val="single" w:sz="4" w:space="0" w:color="000000"/>
            </w:tcBorders>
            <w:shd w:val="clear" w:color="auto" w:fill="auto"/>
          </w:tcPr>
          <w:p w14:paraId="6C998008" w14:textId="77777777" w:rsidR="00A72861" w:rsidRDefault="00A72861" w:rsidP="00A72861">
            <w:pPr>
              <w:pStyle w:val="TableContents"/>
            </w:pPr>
            <w:r>
              <w:rPr>
                <w:vertAlign w:val="superscript"/>
              </w:rPr>
              <w:t>1</w:t>
            </w:r>
            <w:r>
              <w:t> Bis zum Inkrafttreten des vorliegenden Gesetzes gelten die alten Bestimmungen bezüglich der Festsetzung des Beitrags der Standortgemeinden kantonaler Schulen des Tertiärbereichs.</w:t>
            </w:r>
          </w:p>
        </w:tc>
        <w:tc>
          <w:tcPr>
            <w:tcW w:w="5811" w:type="dxa"/>
            <w:tcBorders>
              <w:left w:val="single" w:sz="4" w:space="0" w:color="000000"/>
            </w:tcBorders>
            <w:shd w:val="clear" w:color="auto" w:fill="auto"/>
          </w:tcPr>
          <w:p w14:paraId="57D1930A"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1E02C246" w14:textId="77777777" w:rsidR="00A72861" w:rsidRDefault="00A72861" w:rsidP="00A72861"/>
        </w:tc>
      </w:tr>
      <w:tr w:rsidR="00A72861" w14:paraId="6E5BB0AB" w14:textId="77777777" w:rsidTr="002F0CD7">
        <w:trPr>
          <w:cantSplit/>
        </w:trPr>
        <w:tc>
          <w:tcPr>
            <w:tcW w:w="4849" w:type="dxa"/>
            <w:tcBorders>
              <w:top w:val="single" w:sz="4" w:space="0" w:color="000000"/>
              <w:left w:val="single" w:sz="4" w:space="0" w:color="000000"/>
            </w:tcBorders>
            <w:shd w:val="clear" w:color="auto" w:fill="auto"/>
          </w:tcPr>
          <w:p w14:paraId="3BF7EE41" w14:textId="77777777" w:rsidR="00A72861" w:rsidRDefault="00A72861" w:rsidP="00A72861">
            <w:pPr>
              <w:pStyle w:val="TableContents"/>
            </w:pPr>
            <w:r>
              <w:rPr>
                <w:b/>
                <w:bCs/>
              </w:rPr>
              <w:t>Art.  9</w:t>
            </w:r>
            <w:r>
              <w:br/>
            </w:r>
            <w:r w:rsidRPr="00DC5A22">
              <w:rPr>
                <w:b/>
              </w:rPr>
              <w:t>Aufhebung von Gesetzesbestimmungen</w:t>
            </w:r>
          </w:p>
        </w:tc>
        <w:tc>
          <w:tcPr>
            <w:tcW w:w="5811" w:type="dxa"/>
            <w:tcBorders>
              <w:top w:val="single" w:sz="4" w:space="0" w:color="000000"/>
              <w:left w:val="single" w:sz="4" w:space="0" w:color="000000"/>
            </w:tcBorders>
            <w:shd w:val="clear" w:color="auto" w:fill="auto"/>
          </w:tcPr>
          <w:p w14:paraId="317C0AE8"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7EBB3135" w14:textId="77777777" w:rsidR="00A72861" w:rsidRDefault="00A72861" w:rsidP="00A72861"/>
        </w:tc>
      </w:tr>
      <w:tr w:rsidR="00A72861" w14:paraId="51F3CD6A" w14:textId="77777777" w:rsidTr="002F0CD7">
        <w:trPr>
          <w:cantSplit/>
        </w:trPr>
        <w:tc>
          <w:tcPr>
            <w:tcW w:w="4849" w:type="dxa"/>
            <w:tcBorders>
              <w:left w:val="single" w:sz="4" w:space="0" w:color="000000"/>
            </w:tcBorders>
            <w:shd w:val="clear" w:color="auto" w:fill="auto"/>
          </w:tcPr>
          <w:p w14:paraId="4E95780C" w14:textId="77777777" w:rsidR="00A72861" w:rsidRDefault="00A72861" w:rsidP="00A72861">
            <w:pPr>
              <w:pStyle w:val="TableContents"/>
            </w:pPr>
            <w:r>
              <w:rPr>
                <w:vertAlign w:val="superscript"/>
              </w:rPr>
              <w:t>1</w:t>
            </w:r>
            <w:r>
              <w:t> Ab Inkrafttreten des vorliegenden Gesetzes sind alle gegensätzlichen Bestimmungen aufgehoben, namentlich:</w:t>
            </w:r>
          </w:p>
        </w:tc>
        <w:tc>
          <w:tcPr>
            <w:tcW w:w="5811" w:type="dxa"/>
            <w:tcBorders>
              <w:left w:val="single" w:sz="4" w:space="0" w:color="000000"/>
            </w:tcBorders>
            <w:shd w:val="clear" w:color="auto" w:fill="auto"/>
          </w:tcPr>
          <w:p w14:paraId="572B3BCD"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30A20057" w14:textId="77777777" w:rsidR="00A72861" w:rsidRDefault="00A72861" w:rsidP="00A72861"/>
        </w:tc>
      </w:tr>
      <w:tr w:rsidR="00A72861" w14:paraId="637C8648" w14:textId="77777777" w:rsidTr="002F0CD7">
        <w:trPr>
          <w:cantSplit/>
        </w:trPr>
        <w:tc>
          <w:tcPr>
            <w:tcW w:w="4849" w:type="dxa"/>
            <w:tcBorders>
              <w:left w:val="single" w:sz="4" w:space="0" w:color="000000"/>
            </w:tcBorders>
            <w:shd w:val="clear" w:color="auto" w:fill="auto"/>
          </w:tcPr>
          <w:p w14:paraId="111C441C" w14:textId="77777777" w:rsidR="00A72861" w:rsidRDefault="00A72861" w:rsidP="00A72861">
            <w:pPr>
              <w:pStyle w:val="TableContents"/>
              <w:ind w:left="149" w:right="3" w:hanging="189"/>
            </w:pPr>
            <w:r>
              <w:t>a) Artikel 6 des Dekrets über die Schaffung einer Schweizerischen Tourismusfachschule vom 10. November 1982;</w:t>
            </w:r>
          </w:p>
        </w:tc>
        <w:tc>
          <w:tcPr>
            <w:tcW w:w="5811" w:type="dxa"/>
            <w:tcBorders>
              <w:left w:val="single" w:sz="4" w:space="0" w:color="000000"/>
            </w:tcBorders>
            <w:shd w:val="clear" w:color="auto" w:fill="auto"/>
          </w:tcPr>
          <w:p w14:paraId="046DAF88"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7EF3A136" w14:textId="77777777" w:rsidR="00A72861" w:rsidRDefault="00A72861" w:rsidP="00A72861"/>
        </w:tc>
      </w:tr>
      <w:tr w:rsidR="00A72861" w14:paraId="299366D6" w14:textId="77777777" w:rsidTr="002F0CD7">
        <w:trPr>
          <w:cantSplit/>
        </w:trPr>
        <w:tc>
          <w:tcPr>
            <w:tcW w:w="4849" w:type="dxa"/>
            <w:tcBorders>
              <w:left w:val="single" w:sz="4" w:space="0" w:color="000000"/>
            </w:tcBorders>
            <w:shd w:val="clear" w:color="auto" w:fill="auto"/>
          </w:tcPr>
          <w:p w14:paraId="3B386720" w14:textId="77777777" w:rsidR="00A72861" w:rsidRDefault="00A72861" w:rsidP="00A72861">
            <w:pPr>
              <w:pStyle w:val="TableContents"/>
              <w:ind w:left="149" w:right="3" w:hanging="189"/>
            </w:pPr>
            <w:r>
              <w:t>b) Artikel 25 des Dekrets über die Schaffung einer Höheren technischen Lehranstalt (Ingenieurschule des Kantons Wallis, IVS) vom 26. Juni 1987;</w:t>
            </w:r>
          </w:p>
        </w:tc>
        <w:tc>
          <w:tcPr>
            <w:tcW w:w="5811" w:type="dxa"/>
            <w:tcBorders>
              <w:left w:val="single" w:sz="4" w:space="0" w:color="000000"/>
            </w:tcBorders>
            <w:shd w:val="clear" w:color="auto" w:fill="auto"/>
          </w:tcPr>
          <w:p w14:paraId="7DD910D6"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0B67D642" w14:textId="77777777" w:rsidR="00A72861" w:rsidRDefault="00A72861" w:rsidP="00A72861"/>
        </w:tc>
      </w:tr>
      <w:tr w:rsidR="00A72861" w14:paraId="2341EC03" w14:textId="77777777" w:rsidTr="002F0CD7">
        <w:trPr>
          <w:cantSplit/>
        </w:trPr>
        <w:tc>
          <w:tcPr>
            <w:tcW w:w="4849" w:type="dxa"/>
            <w:tcBorders>
              <w:left w:val="single" w:sz="4" w:space="0" w:color="000000"/>
            </w:tcBorders>
            <w:shd w:val="clear" w:color="auto" w:fill="auto"/>
          </w:tcPr>
          <w:p w14:paraId="16DCF6D0" w14:textId="77777777" w:rsidR="00A72861" w:rsidRDefault="00A72861" w:rsidP="00A72861">
            <w:pPr>
              <w:pStyle w:val="TableContents"/>
              <w:ind w:left="149" w:right="3" w:hanging="189"/>
            </w:pPr>
            <w:r>
              <w:lastRenderedPageBreak/>
              <w:t>c) die Artikel 1 und 17 des Dekrets über die Schaffung einer Höheren Wirtschafts- und Verwaltungsschule (HWV) in Visp vom 29. Januar 1988;</w:t>
            </w:r>
          </w:p>
        </w:tc>
        <w:tc>
          <w:tcPr>
            <w:tcW w:w="5811" w:type="dxa"/>
            <w:tcBorders>
              <w:left w:val="single" w:sz="4" w:space="0" w:color="000000"/>
            </w:tcBorders>
            <w:shd w:val="clear" w:color="auto" w:fill="auto"/>
          </w:tcPr>
          <w:p w14:paraId="35F53F96"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1C9535E9" w14:textId="77777777" w:rsidR="00A72861" w:rsidRDefault="00A72861" w:rsidP="00A72861"/>
        </w:tc>
      </w:tr>
      <w:tr w:rsidR="00A72861" w14:paraId="3951A379" w14:textId="77777777" w:rsidTr="002F0CD7">
        <w:trPr>
          <w:cantSplit/>
        </w:trPr>
        <w:tc>
          <w:tcPr>
            <w:tcW w:w="4849" w:type="dxa"/>
            <w:tcBorders>
              <w:left w:val="single" w:sz="4" w:space="0" w:color="000000"/>
            </w:tcBorders>
            <w:shd w:val="clear" w:color="auto" w:fill="auto"/>
          </w:tcPr>
          <w:p w14:paraId="3307E3B1" w14:textId="77777777" w:rsidR="00A72861" w:rsidRDefault="00A72861" w:rsidP="00A72861">
            <w:pPr>
              <w:pStyle w:val="TableContents"/>
              <w:ind w:left="149" w:right="3" w:hanging="189"/>
            </w:pPr>
            <w:r>
              <w:t>d) die Artikel 1, 18 und 19 des Dekrets über die Schaffung einer Höheren Wirtschafts- und Verwaltungsschule (HWV) in Saint-Maurice und den damit verbundenen Ankauf des Kollegiums Regina Pacis vom 29. Januar 1988;</w:t>
            </w:r>
          </w:p>
        </w:tc>
        <w:tc>
          <w:tcPr>
            <w:tcW w:w="5811" w:type="dxa"/>
            <w:tcBorders>
              <w:left w:val="single" w:sz="4" w:space="0" w:color="000000"/>
            </w:tcBorders>
            <w:shd w:val="clear" w:color="auto" w:fill="auto"/>
          </w:tcPr>
          <w:p w14:paraId="50B6C468"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0E99B216" w14:textId="77777777" w:rsidR="00A72861" w:rsidRDefault="00A72861" w:rsidP="00A72861"/>
        </w:tc>
      </w:tr>
      <w:tr w:rsidR="00A72861" w14:paraId="5FEBA425" w14:textId="77777777" w:rsidTr="002F0CD7">
        <w:trPr>
          <w:cantSplit/>
        </w:trPr>
        <w:tc>
          <w:tcPr>
            <w:tcW w:w="4849" w:type="dxa"/>
            <w:tcBorders>
              <w:left w:val="single" w:sz="4" w:space="0" w:color="000000"/>
            </w:tcBorders>
            <w:shd w:val="clear" w:color="auto" w:fill="auto"/>
          </w:tcPr>
          <w:p w14:paraId="0BF93C9D" w14:textId="77777777" w:rsidR="00A72861" w:rsidRDefault="00A72861" w:rsidP="00A72861">
            <w:pPr>
              <w:pStyle w:val="TableContents"/>
              <w:ind w:left="149" w:right="3" w:hanging="189"/>
            </w:pPr>
            <w:r>
              <w:t>e) Artikel 19 des Dekrets betreffend die Schaffung einer kantonalen Technikerschule für Informatik (TS) in Siders vom 25. März 1988.</w:t>
            </w:r>
          </w:p>
        </w:tc>
        <w:tc>
          <w:tcPr>
            <w:tcW w:w="5811" w:type="dxa"/>
            <w:tcBorders>
              <w:left w:val="single" w:sz="4" w:space="0" w:color="000000"/>
            </w:tcBorders>
            <w:shd w:val="clear" w:color="auto" w:fill="auto"/>
          </w:tcPr>
          <w:p w14:paraId="73971CD6" w14:textId="77777777" w:rsidR="00A72861" w:rsidRDefault="00A72861" w:rsidP="00A72861">
            <w:pPr>
              <w:pStyle w:val="TableContents"/>
              <w:ind w:left="149" w:right="3" w:hanging="189"/>
            </w:pPr>
          </w:p>
        </w:tc>
        <w:tc>
          <w:tcPr>
            <w:tcW w:w="4194" w:type="dxa"/>
            <w:tcBorders>
              <w:left w:val="single" w:sz="4" w:space="0" w:color="000000"/>
              <w:right w:val="single" w:sz="4" w:space="0" w:color="000000"/>
            </w:tcBorders>
            <w:shd w:val="clear" w:color="auto" w:fill="auto"/>
          </w:tcPr>
          <w:p w14:paraId="073A3ABA" w14:textId="77777777" w:rsidR="00A72861" w:rsidRDefault="00A72861" w:rsidP="00A72861"/>
        </w:tc>
      </w:tr>
      <w:tr w:rsidR="00A72861" w14:paraId="3716A8F0" w14:textId="77777777" w:rsidTr="002F0CD7">
        <w:trPr>
          <w:cantSplit/>
        </w:trPr>
        <w:tc>
          <w:tcPr>
            <w:tcW w:w="4849" w:type="dxa"/>
            <w:tcBorders>
              <w:top w:val="single" w:sz="4" w:space="0" w:color="000000"/>
              <w:left w:val="single" w:sz="4" w:space="0" w:color="000000"/>
            </w:tcBorders>
            <w:shd w:val="clear" w:color="auto" w:fill="auto"/>
          </w:tcPr>
          <w:p w14:paraId="6E051095" w14:textId="77777777" w:rsidR="00A72861" w:rsidRDefault="00A72861" w:rsidP="00A72861">
            <w:pPr>
              <w:pStyle w:val="TableContents"/>
            </w:pPr>
            <w:r>
              <w:rPr>
                <w:b/>
                <w:bCs/>
              </w:rPr>
              <w:t>Art.  10</w:t>
            </w:r>
            <w:r>
              <w:br/>
            </w:r>
            <w:r w:rsidRPr="00DC5A22">
              <w:rPr>
                <w:b/>
              </w:rPr>
              <w:t>Referendum und Inkraftsetzung des Gesetzes</w:t>
            </w:r>
          </w:p>
        </w:tc>
        <w:tc>
          <w:tcPr>
            <w:tcW w:w="5811" w:type="dxa"/>
            <w:tcBorders>
              <w:top w:val="single" w:sz="4" w:space="0" w:color="000000"/>
              <w:left w:val="single" w:sz="4" w:space="0" w:color="000000"/>
            </w:tcBorders>
            <w:shd w:val="clear" w:color="auto" w:fill="auto"/>
          </w:tcPr>
          <w:p w14:paraId="535A089B" w14:textId="77777777" w:rsidR="00A72861" w:rsidRDefault="00A72861" w:rsidP="00A72861">
            <w:pPr>
              <w:pStyle w:val="TableContents"/>
            </w:pPr>
          </w:p>
        </w:tc>
        <w:tc>
          <w:tcPr>
            <w:tcW w:w="4194" w:type="dxa"/>
            <w:tcBorders>
              <w:top w:val="single" w:sz="4" w:space="0" w:color="000000"/>
              <w:left w:val="single" w:sz="4" w:space="0" w:color="000000"/>
              <w:right w:val="single" w:sz="4" w:space="0" w:color="000000"/>
            </w:tcBorders>
            <w:shd w:val="clear" w:color="auto" w:fill="auto"/>
          </w:tcPr>
          <w:p w14:paraId="4009127A" w14:textId="77777777" w:rsidR="00A72861" w:rsidRDefault="00A72861" w:rsidP="00A72861"/>
        </w:tc>
      </w:tr>
      <w:tr w:rsidR="00A72861" w14:paraId="0DBCEE0C" w14:textId="77777777" w:rsidTr="002F0CD7">
        <w:trPr>
          <w:cantSplit/>
        </w:trPr>
        <w:tc>
          <w:tcPr>
            <w:tcW w:w="4849" w:type="dxa"/>
            <w:tcBorders>
              <w:left w:val="single" w:sz="4" w:space="0" w:color="000000"/>
            </w:tcBorders>
            <w:shd w:val="clear" w:color="auto" w:fill="auto"/>
          </w:tcPr>
          <w:p w14:paraId="7B5BD820" w14:textId="77777777" w:rsidR="00A72861" w:rsidRDefault="00A72861" w:rsidP="00A72861">
            <w:pPr>
              <w:pStyle w:val="TableContents"/>
            </w:pPr>
            <w:r>
              <w:rPr>
                <w:vertAlign w:val="superscript"/>
              </w:rPr>
              <w:t>1</w:t>
            </w:r>
            <w:r>
              <w:t> Das vorliegende Gesetz unterliegt dem fakultativen Referendum.</w:t>
            </w:r>
          </w:p>
        </w:tc>
        <w:tc>
          <w:tcPr>
            <w:tcW w:w="5811" w:type="dxa"/>
            <w:tcBorders>
              <w:left w:val="single" w:sz="4" w:space="0" w:color="000000"/>
            </w:tcBorders>
            <w:shd w:val="clear" w:color="auto" w:fill="auto"/>
          </w:tcPr>
          <w:p w14:paraId="0D7F34C5"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641827D4" w14:textId="77777777" w:rsidR="00A72861" w:rsidRDefault="00A72861" w:rsidP="00A72861"/>
        </w:tc>
      </w:tr>
      <w:tr w:rsidR="00A72861" w14:paraId="7F028EC9" w14:textId="77777777" w:rsidTr="002F0CD7">
        <w:trPr>
          <w:cantSplit/>
        </w:trPr>
        <w:tc>
          <w:tcPr>
            <w:tcW w:w="4849" w:type="dxa"/>
            <w:tcBorders>
              <w:left w:val="single" w:sz="4" w:space="0" w:color="000000"/>
            </w:tcBorders>
            <w:shd w:val="clear" w:color="auto" w:fill="auto"/>
          </w:tcPr>
          <w:p w14:paraId="240509C5" w14:textId="77777777" w:rsidR="00A72861" w:rsidRDefault="00A72861" w:rsidP="00A72861">
            <w:pPr>
              <w:pStyle w:val="TableContents"/>
            </w:pPr>
            <w:r>
              <w:rPr>
                <w:vertAlign w:val="superscript"/>
              </w:rPr>
              <w:t>2</w:t>
            </w:r>
            <w:r>
              <w:t> Der Staatsrat wacht über die Anwendung des Gesetzes; er bestimmt dessen Inkrafttreten. Der Zeitpunkt kann je nach Schule und Standortgemeinde verschieden sein.</w:t>
            </w:r>
          </w:p>
        </w:tc>
        <w:tc>
          <w:tcPr>
            <w:tcW w:w="5811" w:type="dxa"/>
            <w:tcBorders>
              <w:left w:val="single" w:sz="4" w:space="0" w:color="000000"/>
            </w:tcBorders>
            <w:shd w:val="clear" w:color="auto" w:fill="auto"/>
          </w:tcPr>
          <w:p w14:paraId="70548203" w14:textId="77777777" w:rsidR="00A72861" w:rsidRDefault="00A72861" w:rsidP="00A72861">
            <w:pPr>
              <w:pStyle w:val="TableContents"/>
            </w:pPr>
          </w:p>
        </w:tc>
        <w:tc>
          <w:tcPr>
            <w:tcW w:w="4194" w:type="dxa"/>
            <w:tcBorders>
              <w:left w:val="single" w:sz="4" w:space="0" w:color="000000"/>
              <w:right w:val="single" w:sz="4" w:space="0" w:color="000000"/>
            </w:tcBorders>
            <w:shd w:val="clear" w:color="auto" w:fill="auto"/>
          </w:tcPr>
          <w:p w14:paraId="750C96D0" w14:textId="77777777" w:rsidR="00A72861" w:rsidRDefault="00A72861" w:rsidP="00A72861"/>
        </w:tc>
      </w:tr>
      <w:tr w:rsidR="00A72861" w14:paraId="7DB2A11D" w14:textId="77777777" w:rsidTr="002F0CD7">
        <w:tc>
          <w:tcPr>
            <w:tcW w:w="4849" w:type="dxa"/>
            <w:tcBorders>
              <w:top w:val="single" w:sz="4" w:space="0" w:color="000000"/>
              <w:left w:val="single" w:sz="4" w:space="0" w:color="000000"/>
            </w:tcBorders>
            <w:shd w:val="clear" w:color="auto" w:fill="auto"/>
          </w:tcPr>
          <w:p w14:paraId="202CC482" w14:textId="77777777" w:rsidR="00A72861" w:rsidRDefault="00A72861" w:rsidP="00A72861">
            <w:pPr>
              <w:pStyle w:val="TableContents"/>
            </w:pPr>
            <w:r>
              <w:t>     </w:t>
            </w:r>
          </w:p>
        </w:tc>
        <w:tc>
          <w:tcPr>
            <w:tcW w:w="5811" w:type="dxa"/>
            <w:tcBorders>
              <w:top w:val="single" w:sz="4" w:space="0" w:color="000000"/>
              <w:left w:val="single" w:sz="4" w:space="0" w:color="000000"/>
            </w:tcBorders>
            <w:shd w:val="clear" w:color="auto" w:fill="auto"/>
          </w:tcPr>
          <w:p w14:paraId="707B8312" w14:textId="347A82F3" w:rsidR="00A72861" w:rsidRDefault="00A72861" w:rsidP="00A72861">
            <w:pPr>
              <w:pStyle w:val="TableContents"/>
            </w:pPr>
            <w:r>
              <w:rPr>
                <w:b/>
                <w:bCs/>
                <w:sz w:val="22"/>
              </w:rPr>
              <w:t>T1 Übergangsbestimmungen</w:t>
            </w:r>
          </w:p>
        </w:tc>
        <w:tc>
          <w:tcPr>
            <w:tcW w:w="4194" w:type="dxa"/>
            <w:tcBorders>
              <w:top w:val="single" w:sz="4" w:space="0" w:color="000000"/>
              <w:left w:val="single" w:sz="4" w:space="0" w:color="000000"/>
              <w:right w:val="single" w:sz="4" w:space="0" w:color="000000"/>
            </w:tcBorders>
            <w:shd w:val="clear" w:color="auto" w:fill="auto"/>
          </w:tcPr>
          <w:p w14:paraId="4D602D31" w14:textId="77777777" w:rsidR="00A72861" w:rsidRDefault="00A72861" w:rsidP="00A72861">
            <w:pPr>
              <w:pStyle w:val="TableContents"/>
            </w:pPr>
            <w:r>
              <w:t>     </w:t>
            </w:r>
          </w:p>
        </w:tc>
      </w:tr>
      <w:tr w:rsidR="00A72861" w14:paraId="3C68B112" w14:textId="77777777" w:rsidTr="002F0CD7">
        <w:trPr>
          <w:cantSplit/>
        </w:trPr>
        <w:tc>
          <w:tcPr>
            <w:tcW w:w="4849" w:type="dxa"/>
            <w:tcBorders>
              <w:top w:val="single" w:sz="4" w:space="0" w:color="000000"/>
              <w:left w:val="single" w:sz="4" w:space="0" w:color="000000"/>
            </w:tcBorders>
            <w:shd w:val="clear" w:color="auto" w:fill="auto"/>
          </w:tcPr>
          <w:p w14:paraId="48DBE074" w14:textId="77777777" w:rsidR="00A72861" w:rsidRDefault="00A72861" w:rsidP="00A72861">
            <w:pPr>
              <w:pStyle w:val="TableContents"/>
            </w:pPr>
          </w:p>
        </w:tc>
        <w:tc>
          <w:tcPr>
            <w:tcW w:w="5811" w:type="dxa"/>
            <w:tcBorders>
              <w:top w:val="single" w:sz="4" w:space="0" w:color="000000"/>
              <w:left w:val="single" w:sz="4" w:space="0" w:color="000000"/>
            </w:tcBorders>
            <w:shd w:val="clear" w:color="auto" w:fill="auto"/>
          </w:tcPr>
          <w:p w14:paraId="363E92FD" w14:textId="5AFE6889" w:rsidR="00A72861" w:rsidRDefault="00A72861" w:rsidP="00A72861">
            <w:pPr>
              <w:pStyle w:val="TableContents"/>
            </w:pPr>
            <w:r>
              <w:rPr>
                <w:b/>
                <w:bCs/>
              </w:rPr>
              <w:t>Art.  11</w:t>
            </w:r>
            <w:r>
              <w:br/>
            </w:r>
            <w:r>
              <w:rPr>
                <w:sz w:val="14"/>
              </w:rPr>
              <w:t>Übergangsbestimmungen</w:t>
            </w:r>
          </w:p>
        </w:tc>
        <w:tc>
          <w:tcPr>
            <w:tcW w:w="4194" w:type="dxa"/>
            <w:tcBorders>
              <w:top w:val="single" w:sz="4" w:space="0" w:color="000000"/>
              <w:left w:val="single" w:sz="4" w:space="0" w:color="000000"/>
              <w:right w:val="single" w:sz="4" w:space="0" w:color="000000"/>
            </w:tcBorders>
            <w:shd w:val="clear" w:color="auto" w:fill="auto"/>
          </w:tcPr>
          <w:p w14:paraId="1999CD61" w14:textId="77777777" w:rsidR="00A72861" w:rsidRDefault="00A72861" w:rsidP="00A72861"/>
        </w:tc>
      </w:tr>
      <w:tr w:rsidR="00A72861" w14:paraId="32592139" w14:textId="77777777" w:rsidTr="002F0CD7">
        <w:trPr>
          <w:cantSplit/>
        </w:trPr>
        <w:tc>
          <w:tcPr>
            <w:tcW w:w="4849" w:type="dxa"/>
            <w:tcBorders>
              <w:left w:val="single" w:sz="4" w:space="0" w:color="000000"/>
              <w:bottom w:val="single" w:sz="4" w:space="0" w:color="auto"/>
            </w:tcBorders>
            <w:shd w:val="clear" w:color="auto" w:fill="auto"/>
          </w:tcPr>
          <w:p w14:paraId="175DC72C" w14:textId="77777777" w:rsidR="00A72861" w:rsidRDefault="00A72861" w:rsidP="00A72861">
            <w:pPr>
              <w:pStyle w:val="TableContents"/>
            </w:pPr>
          </w:p>
        </w:tc>
        <w:tc>
          <w:tcPr>
            <w:tcW w:w="5811" w:type="dxa"/>
            <w:tcBorders>
              <w:left w:val="single" w:sz="4" w:space="0" w:color="000000"/>
              <w:bottom w:val="single" w:sz="4" w:space="0" w:color="auto"/>
            </w:tcBorders>
            <w:shd w:val="clear" w:color="auto" w:fill="auto"/>
          </w:tcPr>
          <w:p w14:paraId="03AEAF57" w14:textId="6CFD3BD0" w:rsidR="00A72861" w:rsidRDefault="00A72861" w:rsidP="00A72861">
            <w:pPr>
              <w:pStyle w:val="TableContents"/>
            </w:pPr>
            <w:r>
              <w:rPr>
                <w:vertAlign w:val="superscript"/>
              </w:rPr>
              <w:t>1</w:t>
            </w:r>
            <w:r>
              <w:t> Bis zum Inkrafttreten der Änderung von XX.XX.XX.XX.XXXX des vorliegenden Gesetzes haben die bis anhin geltenden Bestimmungen bezüglich der Festsetzung des Beitrags der Standortgemeinden kantonaler Schulen des Tertiärbereichs Gültigkeit.</w:t>
            </w:r>
          </w:p>
        </w:tc>
        <w:tc>
          <w:tcPr>
            <w:tcW w:w="4194" w:type="dxa"/>
            <w:tcBorders>
              <w:left w:val="single" w:sz="4" w:space="0" w:color="000000"/>
              <w:bottom w:val="single" w:sz="4" w:space="0" w:color="auto"/>
              <w:right w:val="single" w:sz="4" w:space="0" w:color="000000"/>
            </w:tcBorders>
            <w:shd w:val="clear" w:color="auto" w:fill="auto"/>
          </w:tcPr>
          <w:p w14:paraId="5F89539A" w14:textId="77777777" w:rsidR="00A72861" w:rsidRDefault="00A72861" w:rsidP="00A72861"/>
        </w:tc>
      </w:tr>
    </w:tbl>
    <w:p w14:paraId="205C5F3A" w14:textId="77777777" w:rsidR="006B00D2" w:rsidRDefault="006B00D2"/>
    <w:p w14:paraId="12BDED8B" w14:textId="77777777" w:rsidR="00EE78CC" w:rsidRPr="00E46A3F" w:rsidRDefault="00EE78CC" w:rsidP="00EE78CC">
      <w:pPr>
        <w:pStyle w:val="Paragraphedeliste"/>
        <w:ind w:left="0"/>
        <w:rPr>
          <w:b/>
          <w:bCs/>
          <w:sz w:val="22"/>
          <w:lang w:val="de-CH"/>
        </w:rPr>
      </w:pPr>
      <w:r w:rsidRPr="00E46A3F">
        <w:rPr>
          <w:noProof/>
        </w:rPr>
        <w:lastRenderedPageBreak/>
        <mc:AlternateContent>
          <mc:Choice Requires="wps">
            <w:drawing>
              <wp:anchor distT="45720" distB="45720" distL="114300" distR="114300" simplePos="0" relativeHeight="251659264" behindDoc="0" locked="0" layoutInCell="1" allowOverlap="1" wp14:anchorId="3F4AF984" wp14:editId="3A530A22">
                <wp:simplePos x="0" y="0"/>
                <wp:positionH relativeFrom="margin">
                  <wp:posOffset>21590</wp:posOffset>
                </wp:positionH>
                <wp:positionV relativeFrom="paragraph">
                  <wp:posOffset>268605</wp:posOffset>
                </wp:positionV>
                <wp:extent cx="9410700" cy="5554980"/>
                <wp:effectExtent l="0" t="0" r="19050" b="2667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5554980"/>
                        </a:xfrm>
                        <a:prstGeom prst="rect">
                          <a:avLst/>
                        </a:prstGeom>
                        <a:solidFill>
                          <a:srgbClr val="FFFFFF"/>
                        </a:solidFill>
                        <a:ln w="9525">
                          <a:solidFill>
                            <a:srgbClr val="000000"/>
                          </a:solidFill>
                          <a:miter lim="800000"/>
                          <a:headEnd/>
                          <a:tailEnd/>
                        </a:ln>
                      </wps:spPr>
                      <wps:txbx>
                        <w:txbxContent>
                          <w:p w14:paraId="7599D1D8" w14:textId="77777777" w:rsidR="00EE78CC" w:rsidRDefault="00EE78CC" w:rsidP="00EE78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83E18" id="_x0000_t202" coordsize="21600,21600" o:spt="202" path="m,l,21600r21600,l21600,xe">
                <v:stroke joinstyle="miter"/>
                <v:path gradientshapeok="t" o:connecttype="rect"/>
              </v:shapetype>
              <v:shape id="Zone de texte 2" o:spid="_x0000_s1026" type="#_x0000_t202" style="position:absolute;margin-left:1.7pt;margin-top:21.15pt;width:741pt;height:43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">
                <v:textbox>
                  <w:txbxContent>
                    <w:p w:rsidR="00EE78CC" w:rsidRDefault="00EE78CC" w:rsidP="00EE78CC">
                      <w:bookmarkStart w:id="1" w:name="_GoBack"/>
                      <w:bookmarkEnd w:id="1"/>
                    </w:p>
                  </w:txbxContent>
                </v:textbox>
                <w10:wrap type="square" anchorx="margin"/>
              </v:shape>
            </w:pict>
          </mc:Fallback>
        </mc:AlternateContent>
      </w:r>
      <w:r w:rsidR="008E3F30" w:rsidRPr="00E46A3F">
        <w:rPr>
          <w:b/>
          <w:bCs/>
          <w:sz w:val="22"/>
          <w:lang w:val="de-CH"/>
        </w:rPr>
        <w:t>2. Allgemeine Bemerkungen und Kommentare</w:t>
      </w:r>
    </w:p>
    <w:p w14:paraId="1B4EAD30" w14:textId="77777777" w:rsidR="00EE78CC" w:rsidRDefault="00EE78CC"/>
    <w:sectPr w:rsidR="00EE78CC" w:rsidSect="00397B8D">
      <w:headerReference w:type="even" r:id="rId9"/>
      <w:headerReference w:type="default" r:id="rId10"/>
      <w:headerReference w:type="first" r:id="rId11"/>
      <w:footnotePr>
        <w:numRestart w:val="eachPage"/>
      </w:footnotePr>
      <w:pgSz w:w="16838" w:h="11906" w:orient="landscape"/>
      <w:pgMar w:top="1276" w:right="850" w:bottom="850" w:left="1134" w:header="568"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EB94" w14:textId="77777777" w:rsidR="008A4DC9" w:rsidRDefault="008A4DC9">
      <w:r>
        <w:separator/>
      </w:r>
    </w:p>
  </w:endnote>
  <w:endnote w:type="continuationSeparator" w:id="0">
    <w:p w14:paraId="7671CF6E" w14:textId="77777777" w:rsidR="008A4DC9" w:rsidRDefault="008A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AAB4" w14:textId="77777777" w:rsidR="008A4DC9" w:rsidRDefault="008A4DC9">
      <w:r>
        <w:separator/>
      </w:r>
    </w:p>
  </w:footnote>
  <w:footnote w:type="continuationSeparator" w:id="0">
    <w:p w14:paraId="4197269E" w14:textId="77777777" w:rsidR="008A4DC9" w:rsidRDefault="008A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F1E0" w14:textId="02E05363" w:rsidR="00542460" w:rsidRDefault="006B00D2">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804848">
      <w:rPr>
        <w:noProof/>
        <w:sz w:val="16"/>
      </w:rPr>
      <w:t>2</w:t>
    </w:r>
    <w:r>
      <w:rPr>
        <w:sz w:val="16"/>
      </w:rPr>
      <w:fldChar w:fldCharType="end"/>
    </w:r>
    <w:r>
      <w:rPr>
        <w:sz w:val="16"/>
      </w:rPr>
      <w:t xml:space="preserve"> -</w:t>
    </w:r>
  </w:p>
  <w:p w14:paraId="7136EE2C" w14:textId="77777777" w:rsidR="00542460" w:rsidRDefault="00542460">
    <w:pPr>
      <w:pStyle w:val="En-tte"/>
      <w:spacing w:line="240" w:lineRule="exact"/>
      <w:jc w:val="center"/>
      <w:rPr>
        <w:sz w:val="22"/>
      </w:rPr>
    </w:pPr>
  </w:p>
  <w:p w14:paraId="635BF8FB" w14:textId="77777777" w:rsidR="00542460" w:rsidRDefault="00542460">
    <w:pPr>
      <w:pStyle w:val="En-tte"/>
      <w:spacing w:line="240" w:lineRule="exact"/>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1180" w14:textId="6DE1C66E" w:rsidR="00542460" w:rsidRDefault="006B00D2">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804848">
      <w:rPr>
        <w:noProof/>
        <w:sz w:val="16"/>
      </w:rPr>
      <w:t>9</w:t>
    </w:r>
    <w:r>
      <w:rPr>
        <w:sz w:val="16"/>
      </w:rPr>
      <w:fldChar w:fldCharType="end"/>
    </w:r>
    <w:r>
      <w:rPr>
        <w:sz w:val="16"/>
      </w:rPr>
      <w:t xml:space="preserve"> -</w:t>
    </w:r>
  </w:p>
  <w:p w14:paraId="7E425927" w14:textId="77777777" w:rsidR="00542460" w:rsidRDefault="00542460">
    <w:pPr>
      <w:pStyle w:val="En-tte"/>
      <w:spacing w:line="240" w:lineRule="exact"/>
      <w:jc w:val="center"/>
      <w:rPr>
        <w:sz w:val="22"/>
      </w:rPr>
    </w:pPr>
  </w:p>
  <w:p w14:paraId="52631E89" w14:textId="77777777" w:rsidR="00542460" w:rsidRDefault="00542460">
    <w:pPr>
      <w:pStyle w:val="En-tte"/>
      <w:spacing w:line="240" w:lineRule="exact"/>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48FC" w14:textId="77777777" w:rsidR="00542460" w:rsidRDefault="00542460">
    <w:pPr>
      <w:pStyle w:val="En-tte"/>
      <w:spacing w:line="240" w:lineRule="exact"/>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613"/>
    <w:multiLevelType w:val="hybridMultilevel"/>
    <w:tmpl w:val="1D5E10A6"/>
    <w:lvl w:ilvl="0" w:tplc="67C0D272">
      <w:start w:val="1"/>
      <w:numFmt w:val="lowerLetter"/>
      <w:lvlText w:val="%1)"/>
      <w:lvlJc w:val="left"/>
      <w:pPr>
        <w:ind w:left="3210" w:hanging="285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E941C0F"/>
    <w:multiLevelType w:val="hybridMultilevel"/>
    <w:tmpl w:val="3F4A43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BD60470"/>
    <w:multiLevelType w:val="hybridMultilevel"/>
    <w:tmpl w:val="C89E03A8"/>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A1"/>
    <w:rsid w:val="00010397"/>
    <w:rsid w:val="000176FA"/>
    <w:rsid w:val="001321C2"/>
    <w:rsid w:val="001A35ED"/>
    <w:rsid w:val="001A6549"/>
    <w:rsid w:val="001F1321"/>
    <w:rsid w:val="002100B8"/>
    <w:rsid w:val="002421BF"/>
    <w:rsid w:val="002F0CD7"/>
    <w:rsid w:val="00363368"/>
    <w:rsid w:val="00397B8D"/>
    <w:rsid w:val="004D617E"/>
    <w:rsid w:val="005113FE"/>
    <w:rsid w:val="00542460"/>
    <w:rsid w:val="00593AAC"/>
    <w:rsid w:val="00595F98"/>
    <w:rsid w:val="005F7275"/>
    <w:rsid w:val="00612787"/>
    <w:rsid w:val="006829A2"/>
    <w:rsid w:val="006B00D2"/>
    <w:rsid w:val="007B1587"/>
    <w:rsid w:val="00804848"/>
    <w:rsid w:val="008A4DC9"/>
    <w:rsid w:val="008E3F30"/>
    <w:rsid w:val="00A42B08"/>
    <w:rsid w:val="00A72861"/>
    <w:rsid w:val="00B139D9"/>
    <w:rsid w:val="00CB64FB"/>
    <w:rsid w:val="00CD19D3"/>
    <w:rsid w:val="00D77817"/>
    <w:rsid w:val="00DC5A22"/>
    <w:rsid w:val="00E376A3"/>
    <w:rsid w:val="00E46A3F"/>
    <w:rsid w:val="00E91E92"/>
    <w:rsid w:val="00EA25BF"/>
    <w:rsid w:val="00EA7B62"/>
    <w:rsid w:val="00EE78CC"/>
    <w:rsid w:val="00FA1B4E"/>
    <w:rsid w:val="00FB2D9C"/>
    <w:rsid w:val="00FB69A1"/>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AC05DD3"/>
  <w15:chartTrackingRefBased/>
  <w15:docId w15:val="{7FB6D333-B479-4B13-B68A-0BE56023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widowControl w:val="0"/>
      <w:tabs>
        <w:tab w:val="right" w:pos="14854"/>
      </w:tabs>
    </w:pPr>
    <w:rPr>
      <w:rFonts w:ascii="Arial" w:hAnsi="Arial"/>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styleId="En-tte">
    <w:name w:val="header"/>
    <w:pPr>
      <w:widowControl w:val="0"/>
      <w:tabs>
        <w:tab w:val="right" w:pos="14854"/>
      </w:tabs>
      <w:suppressAutoHyphens/>
    </w:pPr>
    <w:rPr>
      <w:rFonts w:ascii="Arial" w:hAnsi="Arial"/>
      <w:sz w:val="18"/>
      <w:lang w:val="de-CH"/>
    </w:rPr>
  </w:style>
  <w:style w:type="paragraph" w:styleId="Pieddepage">
    <w:name w:val="footer"/>
    <w:basedOn w:val="En-tte"/>
  </w:style>
  <w:style w:type="paragraph" w:customStyle="1" w:styleId="Erlasstitel">
    <w:name w:val="Erlasstitel"/>
    <w:basedOn w:val="Normal"/>
    <w:next w:val="Datum"/>
    <w:pPr>
      <w:keepNext/>
      <w:suppressAutoHyphens/>
      <w:spacing w:before="240" w:after="240"/>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Normal"/>
    <w:next w:val="Aktion"/>
    <w:pPr>
      <w:spacing w:before="240" w:after="40"/>
    </w:pPr>
  </w:style>
  <w:style w:type="paragraph" w:customStyle="1" w:styleId="Schluss">
    <w:name w:val="Schluss"/>
    <w:basedOn w:val="Normal"/>
    <w:pPr>
      <w:tabs>
        <w:tab w:val="clear" w:pos="14854"/>
        <w:tab w:val="left" w:pos="6124"/>
      </w:tabs>
      <w:spacing w:before="480" w:after="40"/>
      <w:ind w:left="3062" w:hanging="3062"/>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88" w:lineRule="auto"/>
    </w:pPr>
  </w:style>
  <w:style w:type="paragraph" w:styleId="Commentaire">
    <w:name w:val="annotation text"/>
    <w:basedOn w:val="Normal"/>
    <w:pPr>
      <w:keepNext/>
      <w:spacing w:line="144" w:lineRule="exact"/>
    </w:pPr>
    <w:rPr>
      <w:sz w:val="14"/>
    </w:rPr>
  </w:style>
  <w:style w:type="paragraph" w:customStyle="1" w:styleId="Artikel">
    <w:name w:val="Artikel"/>
    <w:basedOn w:val="Normal"/>
    <w:next w:val="Normal"/>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left="340" w:hanging="340"/>
    </w:pPr>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31">
    <w:name w:val="Liste 31"/>
    <w:basedOn w:val="Liste21"/>
    <w:pPr>
      <w:ind w:left="1021"/>
    </w:pPr>
  </w:style>
  <w:style w:type="paragraph" w:styleId="Notedebasdepage">
    <w:name w:val="footnote text"/>
    <w:basedOn w:val="Normal"/>
    <w:pPr>
      <w:spacing w:line="188" w:lineRule="exact"/>
      <w:ind w:left="210" w:hanging="210"/>
    </w:pPr>
    <w:rPr>
      <w:sz w:val="16"/>
    </w:rPr>
  </w:style>
  <w:style w:type="paragraph" w:styleId="Paragraphedeliste">
    <w:name w:val="List Paragraph"/>
    <w:basedOn w:val="Normal"/>
    <w:uiPriority w:val="34"/>
    <w:qFormat/>
    <w:rsid w:val="00EE78CC"/>
    <w:pPr>
      <w:ind w:left="720"/>
      <w:contextualSpacing/>
    </w:pPr>
    <w:rPr>
      <w:lang w:val="fr-CH"/>
    </w:rPr>
  </w:style>
  <w:style w:type="table" w:styleId="Grilledutableau">
    <w:name w:val="Table Grid"/>
    <w:basedOn w:val="TableauNormal"/>
    <w:uiPriority w:val="59"/>
    <w:rsid w:val="00EE7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B64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64FB"/>
    <w:rPr>
      <w:rFonts w:ascii="Segoe UI" w:hAnsi="Segoe UI" w:cs="Segoe UI"/>
      <w:sz w:val="18"/>
      <w:szCs w:val="18"/>
      <w:lang w:val="de-CH"/>
    </w:rPr>
  </w:style>
  <w:style w:type="character" w:customStyle="1" w:styleId="textcontent">
    <w:name w:val="text_content"/>
    <w:basedOn w:val="Policepardfaut"/>
    <w:rsid w:val="00DC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89232">
      <w:bodyDiv w:val="1"/>
      <w:marLeft w:val="0"/>
      <w:marRight w:val="0"/>
      <w:marTop w:val="0"/>
      <w:marBottom w:val="0"/>
      <w:divBdr>
        <w:top w:val="none" w:sz="0" w:space="0" w:color="auto"/>
        <w:left w:val="none" w:sz="0" w:space="0" w:color="auto"/>
        <w:bottom w:val="none" w:sz="0" w:space="0" w:color="auto"/>
        <w:right w:val="none" w:sz="0" w:space="0" w:color="auto"/>
      </w:divBdr>
    </w:div>
    <w:div w:id="209126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m.vs.ch/dav/nodes/33649400/mailto_she%40admin.vs.ch"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1601</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FISCHER</dc:creator>
  <cp:keywords/>
  <cp:lastModifiedBy>Andre FISCHER</cp:lastModifiedBy>
  <cp:revision>22</cp:revision>
  <cp:lastPrinted>2019-11-18T10:20:00Z</cp:lastPrinted>
  <dcterms:created xsi:type="dcterms:W3CDTF">2019-11-18T10:08:00Z</dcterms:created>
  <dcterms:modified xsi:type="dcterms:W3CDTF">2020-04-23T07:43:00Z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