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BF" w:rsidRPr="00AF634E" w:rsidRDefault="00F71EBF" w:rsidP="00F71EBF">
      <w:r w:rsidRPr="00AF634E">
        <w:rPr>
          <w:noProof/>
        </w:rPr>
        <w:drawing>
          <wp:inline distT="0" distB="0" distL="0" distR="0" wp14:anchorId="2800C8C0" wp14:editId="41223D53">
            <wp:extent cx="3495228" cy="1288112"/>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40367" cy="1304747"/>
                    </a:xfrm>
                    <a:prstGeom prst="rect">
                      <a:avLst/>
                    </a:prstGeom>
                  </pic:spPr>
                </pic:pic>
              </a:graphicData>
            </a:graphic>
          </wp:inline>
        </w:drawing>
      </w:r>
    </w:p>
    <w:p w:rsidR="00F71EBF" w:rsidRPr="00AF634E" w:rsidRDefault="00F71EBF" w:rsidP="00F71EBF"/>
    <w:p w:rsidR="00F71EBF" w:rsidRDefault="00F71EBF" w:rsidP="00F71EBF"/>
    <w:p w:rsidR="00F71EBF" w:rsidRDefault="00F71EBF" w:rsidP="00F71EBF">
      <w:pPr>
        <w:jc w:val="center"/>
        <w:rPr>
          <w:b/>
          <w:sz w:val="32"/>
        </w:rPr>
      </w:pPr>
      <w:r w:rsidRPr="00E97975">
        <w:rPr>
          <w:b/>
          <w:sz w:val="32"/>
        </w:rPr>
        <w:t xml:space="preserve">Formulaire pour la consultation relative à </w:t>
      </w:r>
      <w:r>
        <w:rPr>
          <w:b/>
          <w:sz w:val="32"/>
        </w:rPr>
        <w:br/>
      </w:r>
      <w:r w:rsidRPr="00AF634E">
        <w:rPr>
          <w:b/>
          <w:sz w:val="32"/>
        </w:rPr>
        <w:t xml:space="preserve">l’avant-projet de révision </w:t>
      </w:r>
      <w:r>
        <w:rPr>
          <w:b/>
          <w:sz w:val="32"/>
        </w:rPr>
        <w:t xml:space="preserve">partielle </w:t>
      </w:r>
      <w:r w:rsidRPr="00AF634E">
        <w:rPr>
          <w:b/>
          <w:sz w:val="32"/>
        </w:rPr>
        <w:t>de la loi fixant la localisation des écoles cantonales du degré tertiaire et la contribution des communes sièges</w:t>
      </w:r>
    </w:p>
    <w:p w:rsidR="00F71EBF" w:rsidRDefault="00F71EBF" w:rsidP="00F71EBF">
      <w:pPr>
        <w:jc w:val="center"/>
        <w:rPr>
          <w:b/>
          <w:sz w:val="36"/>
        </w:rPr>
      </w:pPr>
    </w:p>
    <w:p w:rsidR="00F71EBF" w:rsidRPr="00E97975" w:rsidRDefault="00F71EBF" w:rsidP="00F71EBF">
      <w:pPr>
        <w:jc w:val="center"/>
        <w:rPr>
          <w:sz w:val="24"/>
        </w:rPr>
      </w:pPr>
      <w:r w:rsidRPr="00E97975">
        <w:rPr>
          <w:sz w:val="24"/>
        </w:rPr>
        <w:t xml:space="preserve">A transmettre d’ici au </w:t>
      </w:r>
      <w:r w:rsidR="00B133A3">
        <w:rPr>
          <w:sz w:val="24"/>
        </w:rPr>
        <w:t>lundi 29</w:t>
      </w:r>
      <w:bookmarkStart w:id="0" w:name="_GoBack"/>
      <w:bookmarkEnd w:id="0"/>
      <w:r>
        <w:rPr>
          <w:sz w:val="24"/>
        </w:rPr>
        <w:t xml:space="preserve"> juin 2020</w:t>
      </w:r>
    </w:p>
    <w:p w:rsidR="00F71EBF" w:rsidRDefault="00F71EBF" w:rsidP="00F71EBF">
      <w:pPr>
        <w:jc w:val="center"/>
      </w:pPr>
    </w:p>
    <w:p w:rsidR="00F71EBF" w:rsidRDefault="00F71EBF" w:rsidP="00F71EBF">
      <w:pPr>
        <w:jc w:val="center"/>
      </w:pPr>
      <w:r>
        <w:t xml:space="preserve">Par courrier électronique à </w:t>
      </w:r>
      <w:hyperlink r:id="rId8" w:history="1">
        <w:r w:rsidRPr="003221F6">
          <w:rPr>
            <w:rStyle w:val="Lienhypertexte"/>
          </w:rPr>
          <w:t>she@admin.vs.ch</w:t>
        </w:r>
      </w:hyperlink>
      <w:r w:rsidRPr="0037286A">
        <w:rPr>
          <w:rStyle w:val="Lienhypertexte"/>
          <w:color w:val="auto"/>
          <w:u w:val="none"/>
        </w:rPr>
        <w:t xml:space="preserve"> ou </w:t>
      </w:r>
      <w:r>
        <w:t>p</w:t>
      </w:r>
      <w:r w:rsidRPr="00E97975">
        <w:t>ar courrier postal</w:t>
      </w:r>
      <w:r>
        <w:br/>
      </w:r>
      <w:r w:rsidRPr="00E97975">
        <w:t xml:space="preserve"> </w:t>
      </w:r>
      <w:r>
        <w:t>au Service des hautes écoles, Chef de service, Rue de Conthey 19, 1950 Sion</w:t>
      </w:r>
      <w:r>
        <w:br/>
      </w:r>
    </w:p>
    <w:tbl>
      <w:tblPr>
        <w:tblStyle w:val="Grilledutableau"/>
        <w:tblpPr w:leftFromText="141" w:rightFromText="141" w:vertAnchor="page" w:horzAnchor="margin" w:tblpXSpec="center" w:tblpY="6481"/>
        <w:tblW w:w="0" w:type="auto"/>
        <w:tblLook w:val="04A0" w:firstRow="1" w:lastRow="0" w:firstColumn="1" w:lastColumn="0" w:noHBand="0" w:noVBand="1"/>
      </w:tblPr>
      <w:tblGrid>
        <w:gridCol w:w="2338"/>
        <w:gridCol w:w="4320"/>
      </w:tblGrid>
      <w:tr w:rsidR="00F71EBF" w:rsidRPr="00B827CA" w:rsidTr="00271D7C">
        <w:trPr>
          <w:trHeight w:val="421"/>
        </w:trPr>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F71EBF" w:rsidRPr="00B827CA" w:rsidRDefault="00F71EBF" w:rsidP="00271D7C">
            <w:r w:rsidRPr="00B827CA">
              <w:t>Nom de l’organisme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F71EBF" w:rsidRPr="00B827CA" w:rsidRDefault="00F71EBF" w:rsidP="00271D7C"/>
        </w:tc>
      </w:tr>
      <w:tr w:rsidR="00F71EBF" w:rsidTr="00271D7C">
        <w:trPr>
          <w:trHeight w:val="453"/>
        </w:trPr>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F71EBF" w:rsidRPr="00B827CA" w:rsidRDefault="00F71EBF" w:rsidP="00271D7C">
            <w:r w:rsidRPr="00B827CA">
              <w:t>Personne de contact</w:t>
            </w:r>
            <w:r>
              <w:t>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F71EBF" w:rsidRPr="00B827CA" w:rsidRDefault="00F71EBF" w:rsidP="00271D7C"/>
        </w:tc>
      </w:tr>
      <w:tr w:rsidR="00F71EBF" w:rsidTr="00271D7C">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F71EBF" w:rsidRDefault="00F71EBF" w:rsidP="00271D7C">
            <w:r>
              <w:t>Adresse :</w:t>
            </w:r>
          </w:p>
          <w:p w:rsidR="00F71EBF" w:rsidRDefault="00F71EBF" w:rsidP="00271D7C"/>
          <w:p w:rsidR="00F71EBF" w:rsidRDefault="00F71EBF" w:rsidP="00271D7C"/>
          <w:p w:rsidR="00F71EBF" w:rsidRDefault="00F71EBF" w:rsidP="00271D7C"/>
          <w:p w:rsidR="00F71EBF" w:rsidRPr="00B827CA" w:rsidRDefault="00F71EBF" w:rsidP="00271D7C"/>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F71EBF" w:rsidRPr="00B827CA" w:rsidRDefault="00F71EBF" w:rsidP="00271D7C"/>
        </w:tc>
      </w:tr>
      <w:tr w:rsidR="00F71EBF" w:rsidTr="00271D7C">
        <w:trPr>
          <w:trHeight w:val="493"/>
        </w:trPr>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F71EBF" w:rsidRPr="00B827CA" w:rsidRDefault="00F71EBF" w:rsidP="00271D7C">
            <w:r>
              <w:t>Téléphone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F71EBF" w:rsidRPr="00B827CA" w:rsidRDefault="00F71EBF" w:rsidP="00271D7C"/>
        </w:tc>
      </w:tr>
      <w:tr w:rsidR="00F71EBF" w:rsidTr="00271D7C">
        <w:trPr>
          <w:trHeight w:val="557"/>
        </w:trPr>
        <w:tc>
          <w:tcPr>
            <w:tcW w:w="233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F71EBF" w:rsidRPr="00B827CA" w:rsidRDefault="00F71EBF" w:rsidP="00271D7C">
            <w:r>
              <w:t>Date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rsidR="00F71EBF" w:rsidRPr="00B827CA" w:rsidRDefault="00F71EBF" w:rsidP="00271D7C"/>
        </w:tc>
      </w:tr>
    </w:tbl>
    <w:p w:rsidR="00F71EBF" w:rsidRPr="00B827CA" w:rsidRDefault="00F71EBF" w:rsidP="00F71EBF"/>
    <w:p w:rsidR="00F71EBF" w:rsidRDefault="00F71EBF" w:rsidP="00F71EBF">
      <w:pPr>
        <w:rPr>
          <w:sz w:val="24"/>
        </w:rPr>
      </w:pPr>
    </w:p>
    <w:p w:rsidR="00F71EBF" w:rsidRPr="00E97975" w:rsidRDefault="00F71EBF" w:rsidP="00F71EBF">
      <w:pPr>
        <w:rPr>
          <w:sz w:val="24"/>
        </w:rPr>
      </w:pPr>
    </w:p>
    <w:p w:rsidR="001E790B" w:rsidRDefault="00F71EBF" w:rsidP="001E790B">
      <w:r>
        <w:br w:type="page"/>
      </w:r>
      <w:r w:rsidR="001E790B">
        <w:rPr>
          <w:b/>
          <w:bCs/>
          <w:sz w:val="22"/>
        </w:rPr>
        <w:lastRenderedPageBreak/>
        <w:t>1. Sy</w:t>
      </w:r>
      <w:r w:rsidR="001E790B" w:rsidRPr="006B0455">
        <w:rPr>
          <w:b/>
          <w:bCs/>
          <w:sz w:val="22"/>
        </w:rPr>
        <w:t>nthèse synoptique par article</w:t>
      </w:r>
    </w:p>
    <w:p w:rsidR="00FF1B7E" w:rsidRDefault="00FF1B7E"/>
    <w:tbl>
      <w:tblPr>
        <w:tblW w:w="14854" w:type="dxa"/>
        <w:tblInd w:w="108" w:type="dxa"/>
        <w:tblLayout w:type="fixed"/>
        <w:tblCellMar>
          <w:top w:w="108" w:type="dxa"/>
          <w:bottom w:w="108" w:type="dxa"/>
        </w:tblCellMar>
        <w:tblLook w:val="0000" w:firstRow="0" w:lastRow="0" w:firstColumn="0" w:lastColumn="0" w:noHBand="0" w:noVBand="0"/>
      </w:tblPr>
      <w:tblGrid>
        <w:gridCol w:w="4951"/>
        <w:gridCol w:w="4951"/>
        <w:gridCol w:w="4952"/>
      </w:tblGrid>
      <w:tr w:rsidR="00F71EBF" w:rsidTr="00F71EBF">
        <w:trPr>
          <w:tblHeader/>
        </w:trPr>
        <w:tc>
          <w:tcPr>
            <w:tcW w:w="4951" w:type="dxa"/>
            <w:tcBorders>
              <w:top w:val="single" w:sz="4" w:space="0" w:color="000000"/>
              <w:left w:val="single" w:sz="4" w:space="0" w:color="000000"/>
              <w:bottom w:val="single" w:sz="4" w:space="0" w:color="000000"/>
            </w:tcBorders>
            <w:shd w:val="clear" w:color="auto" w:fill="E0E0E0"/>
            <w:vAlign w:val="center"/>
          </w:tcPr>
          <w:p w:rsidR="00F71EBF" w:rsidRDefault="00F71EBF" w:rsidP="00F71EBF">
            <w:pPr>
              <w:pStyle w:val="TableContents"/>
            </w:pPr>
            <w:r>
              <w:rPr>
                <w:b/>
                <w:sz w:val="22"/>
              </w:rPr>
              <w:t>Texte de loi en vigueur</w:t>
            </w:r>
          </w:p>
        </w:tc>
        <w:tc>
          <w:tcPr>
            <w:tcW w:w="4951" w:type="dxa"/>
            <w:tcBorders>
              <w:top w:val="single" w:sz="4" w:space="0" w:color="000000"/>
              <w:left w:val="single" w:sz="4" w:space="0" w:color="000000"/>
              <w:bottom w:val="single" w:sz="4" w:space="0" w:color="000000"/>
            </w:tcBorders>
            <w:shd w:val="clear" w:color="auto" w:fill="E0E0E0"/>
            <w:vAlign w:val="center"/>
          </w:tcPr>
          <w:p w:rsidR="00F71EBF" w:rsidRDefault="00F71EBF" w:rsidP="00F71EBF">
            <w:pPr>
              <w:pStyle w:val="TableContents"/>
            </w:pPr>
            <w:r>
              <w:rPr>
                <w:b/>
                <w:sz w:val="22"/>
              </w:rPr>
              <w:t>Avant-projet de loi (éléments modifiés)</w:t>
            </w:r>
          </w:p>
        </w:tc>
        <w:tc>
          <w:tcPr>
            <w:tcW w:w="495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F71EBF" w:rsidRPr="00F71EBF" w:rsidRDefault="00F71EBF" w:rsidP="00F71EBF">
            <w:pPr>
              <w:pStyle w:val="TableContents"/>
            </w:pPr>
            <w:r w:rsidRPr="00F71EBF">
              <w:rPr>
                <w:b/>
                <w:sz w:val="22"/>
              </w:rPr>
              <w:t>Commentaires / Observations</w:t>
            </w:r>
          </w:p>
        </w:tc>
      </w:tr>
      <w:tr w:rsidR="00F71EBF" w:rsidRPr="006611AF" w:rsidTr="00F71EBF">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sz w:val="22"/>
              </w:rPr>
              <w:t>Loi fixant la localisation des écoles cantonales du degré tertiaire et la contribution des communes sièges</w:t>
            </w: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sz w:val="22"/>
              </w:rPr>
              <w:t>Loi fixant la localisation des institutions cantonales de formation et de recherche du degré tertiaire et la contribution des communes sièges</w:t>
            </w:r>
          </w:p>
        </w:tc>
        <w:tc>
          <w:tcPr>
            <w:tcW w:w="4952" w:type="dxa"/>
            <w:tcBorders>
              <w:top w:val="single" w:sz="4" w:space="0" w:color="000000"/>
              <w:left w:val="single" w:sz="4" w:space="0" w:color="000000"/>
              <w:right w:val="single" w:sz="4" w:space="0" w:color="000000"/>
            </w:tcBorders>
            <w:shd w:val="clear" w:color="auto" w:fill="auto"/>
          </w:tcPr>
          <w:p w:rsidR="00F71EBF" w:rsidRPr="006611AF" w:rsidRDefault="00F71EBF" w:rsidP="00F71EBF">
            <w:pPr>
              <w:rPr>
                <w:lang w:val="de-CH"/>
              </w:rPr>
            </w:pPr>
          </w:p>
        </w:tc>
      </w:tr>
      <w:tr w:rsidR="00F71EBF" w:rsidTr="00F71EBF">
        <w:trPr>
          <w:cantSplit/>
        </w:trPr>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t>Art.  1</w:t>
            </w:r>
            <w:r>
              <w:br/>
            </w:r>
            <w:r>
              <w:rPr>
                <w:sz w:val="14"/>
              </w:rPr>
              <w:t>But et objet</w:t>
            </w: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p>
        </w:tc>
        <w:tc>
          <w:tcPr>
            <w:tcW w:w="4952" w:type="dxa"/>
            <w:tcBorders>
              <w:top w:val="single" w:sz="4" w:space="0" w:color="000000"/>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La présente loi fixe la localisation:</w:t>
            </w:r>
          </w:p>
        </w:tc>
        <w:tc>
          <w:tcPr>
            <w:tcW w:w="4951" w:type="dxa"/>
            <w:tcBorders>
              <w:left w:val="single" w:sz="4" w:space="0" w:color="000000"/>
            </w:tcBorders>
            <w:shd w:val="clear" w:color="auto" w:fill="auto"/>
          </w:tcPr>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a) de la Haute Ecole pédagogique valaisanne (HEP-VS);</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RPr="006611A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b) de la Haute Ecole spécialisée de Suisse occidentale Valais/Wallis (HES-SO Valais/Wallis) comprenant les domaines Sciences de l'ingénieur, Economie &amp; Services, Santé et Travail social.</w:t>
            </w:r>
          </w:p>
        </w:tc>
        <w:tc>
          <w:tcPr>
            <w:tcW w:w="4951" w:type="dxa"/>
            <w:tcBorders>
              <w:left w:val="single" w:sz="4" w:space="0" w:color="000000"/>
            </w:tcBorders>
            <w:shd w:val="clear" w:color="auto" w:fill="auto"/>
          </w:tcPr>
          <w:p w:rsidR="00F71EBF" w:rsidRDefault="00F71EBF" w:rsidP="00F71EBF">
            <w:pPr>
              <w:pStyle w:val="TableContents"/>
              <w:ind w:left="149" w:right="3" w:hanging="189"/>
            </w:pPr>
            <w:r>
              <w:t>b) des différents domaines de la Haute Ecole spécialisée de Suisse occidentale Valais-Wallis (HES-SO Valais-Wallis).</w:t>
            </w:r>
          </w:p>
        </w:tc>
        <w:tc>
          <w:tcPr>
            <w:tcW w:w="4952" w:type="dxa"/>
            <w:tcBorders>
              <w:left w:val="single" w:sz="4" w:space="0" w:color="000000"/>
              <w:right w:val="single" w:sz="4" w:space="0" w:color="000000"/>
            </w:tcBorders>
            <w:shd w:val="clear" w:color="auto" w:fill="auto"/>
          </w:tcPr>
          <w:p w:rsidR="00F71EBF" w:rsidRPr="006611AF" w:rsidRDefault="00F71EBF" w:rsidP="00F71EBF">
            <w:pPr>
              <w:rPr>
                <w:lang w:val="de-CH"/>
              </w:rPr>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c) …</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d) …</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RPr="006611A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2</w:t>
            </w:r>
            <w:r>
              <w:t> Elle règle la contribution des communes sièges.</w:t>
            </w: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2</w:t>
            </w:r>
            <w:r>
              <w:t> </w:t>
            </w:r>
            <w:r w:rsidR="008D2DFE">
              <w:rPr>
                <w:rStyle w:val="textcontent"/>
              </w:rPr>
              <w:t>La présente loi règle la contribution des communes sièges aux institutions cantonales de formation et de recherche du degré tertiaire sises sur le territoire du canton.</w:t>
            </w: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jc w:val="both"/>
              <w:rPr>
                <w:lang w:val="de-CH"/>
              </w:rPr>
            </w:pPr>
          </w:p>
        </w:tc>
      </w:tr>
      <w:tr w:rsidR="00F71EBF" w:rsidRPr="006611AF" w:rsidTr="00F71EBF">
        <w:trPr>
          <w:cantSplit/>
        </w:trPr>
        <w:tc>
          <w:tcPr>
            <w:tcW w:w="4951" w:type="dxa"/>
            <w:tcBorders>
              <w:left w:val="single" w:sz="4" w:space="0" w:color="000000"/>
            </w:tcBorders>
            <w:shd w:val="clear" w:color="auto" w:fill="auto"/>
          </w:tcPr>
          <w:p w:rsidR="00F71EBF" w:rsidRPr="006611AF" w:rsidRDefault="00F71EBF" w:rsidP="00F71EBF">
            <w:pPr>
              <w:pStyle w:val="TableContents"/>
              <w:rPr>
                <w:lang w:val="de-CH"/>
              </w:rPr>
            </w:pPr>
          </w:p>
        </w:tc>
        <w:tc>
          <w:tcPr>
            <w:tcW w:w="4951" w:type="dxa"/>
            <w:tcBorders>
              <w:left w:val="single" w:sz="4" w:space="0" w:color="000000"/>
            </w:tcBorders>
            <w:shd w:val="clear" w:color="auto" w:fill="auto"/>
          </w:tcPr>
          <w:p w:rsidR="008D2DFE" w:rsidRDefault="00F71EBF" w:rsidP="008D2DFE">
            <w:pPr>
              <w:pStyle w:val="TableContents"/>
            </w:pPr>
            <w:r>
              <w:rPr>
                <w:vertAlign w:val="superscript"/>
              </w:rPr>
              <w:t>3</w:t>
            </w:r>
            <w:r>
              <w:t> </w:t>
            </w:r>
            <w:r w:rsidR="008D2DFE">
              <w:rPr>
                <w:rStyle w:val="textcontent"/>
              </w:rPr>
              <w:t>Sont considérées comme institutions cantonales de formation et de recherche du degré tertiaire au sens de la présente loi, les institutions financées ou subventionnées par l’Etat du Valais qui relèvent d'une ou de plusieurs lois suivantes:</w:t>
            </w:r>
            <w:r w:rsidR="008D2DFE">
              <w:tab/>
            </w:r>
          </w:p>
          <w:p w:rsidR="008D2DFE" w:rsidRDefault="008D2DFE" w:rsidP="008B5436">
            <w:pPr>
              <w:pStyle w:val="TableContents"/>
              <w:numPr>
                <w:ilvl w:val="0"/>
                <w:numId w:val="1"/>
              </w:numPr>
            </w:pPr>
            <w:r>
              <w:t>la loi fédérale sur l'encouragement des hautes écoles et la coordination dans le domaine suisse des hautes écoles (LEHE), et/ou</w:t>
            </w:r>
            <w:r>
              <w:tab/>
            </w:r>
          </w:p>
          <w:p w:rsidR="008D2DFE" w:rsidRDefault="008D2DFE" w:rsidP="008B5436">
            <w:pPr>
              <w:pStyle w:val="TableContents"/>
              <w:numPr>
                <w:ilvl w:val="0"/>
                <w:numId w:val="1"/>
              </w:numPr>
            </w:pPr>
            <w:r>
              <w:t>la loi fédérale sur la formation professionnelle (LFPr), et/ou</w:t>
            </w:r>
          </w:p>
          <w:p w:rsidR="008D2DFE" w:rsidRDefault="008D2DFE" w:rsidP="008B5436">
            <w:pPr>
              <w:pStyle w:val="TableContents"/>
              <w:numPr>
                <w:ilvl w:val="0"/>
                <w:numId w:val="1"/>
              </w:numPr>
            </w:pPr>
            <w:r>
              <w:t>la loi cantonale sur la formation et la recherche universitaires (LFRU).</w:t>
            </w:r>
          </w:p>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RPr="00293141" w:rsidTr="00F71EBF">
        <w:trPr>
          <w:cantSplit/>
        </w:trPr>
        <w:tc>
          <w:tcPr>
            <w:tcW w:w="4951" w:type="dxa"/>
            <w:tcBorders>
              <w:top w:val="single" w:sz="4" w:space="0" w:color="000000"/>
              <w:left w:val="single" w:sz="4" w:space="0" w:color="000000"/>
            </w:tcBorders>
            <w:shd w:val="clear" w:color="auto" w:fill="auto"/>
          </w:tcPr>
          <w:p w:rsidR="00F71EBF" w:rsidRPr="00F71EBF" w:rsidRDefault="00F71EBF" w:rsidP="00F71EBF">
            <w:pPr>
              <w:pStyle w:val="TableContents"/>
            </w:pPr>
            <w:r w:rsidRPr="00F71EBF">
              <w:rPr>
                <w:b/>
                <w:bCs/>
              </w:rPr>
              <w:lastRenderedPageBreak/>
              <w:t>Art.  2</w:t>
            </w:r>
            <w:r w:rsidRPr="00F71EBF">
              <w:br/>
            </w:r>
            <w:r w:rsidRPr="00F71EBF">
              <w:rPr>
                <w:sz w:val="14"/>
              </w:rPr>
              <w:t>Localisation de la HEP-VS</w:t>
            </w:r>
          </w:p>
        </w:tc>
        <w:tc>
          <w:tcPr>
            <w:tcW w:w="4951" w:type="dxa"/>
            <w:tcBorders>
              <w:top w:val="single" w:sz="4" w:space="0" w:color="000000"/>
              <w:left w:val="single" w:sz="4" w:space="0" w:color="000000"/>
            </w:tcBorders>
            <w:shd w:val="clear" w:color="auto" w:fill="auto"/>
          </w:tcPr>
          <w:p w:rsidR="00F71EBF" w:rsidRPr="00293141" w:rsidRDefault="00F71EBF" w:rsidP="00F71EBF">
            <w:pPr>
              <w:pStyle w:val="TableContents"/>
              <w:rPr>
                <w:lang w:val="de-CH"/>
              </w:rPr>
            </w:pPr>
          </w:p>
        </w:tc>
        <w:tc>
          <w:tcPr>
            <w:tcW w:w="4952" w:type="dxa"/>
            <w:tcBorders>
              <w:top w:val="single" w:sz="4" w:space="0" w:color="000000"/>
              <w:left w:val="single" w:sz="4" w:space="0" w:color="000000"/>
              <w:right w:val="single" w:sz="4" w:space="0" w:color="000000"/>
            </w:tcBorders>
            <w:shd w:val="clear" w:color="auto" w:fill="auto"/>
          </w:tcPr>
          <w:p w:rsidR="00F71EBF" w:rsidRPr="00293141" w:rsidRDefault="00F71EBF" w:rsidP="00F71EBF">
            <w:pPr>
              <w:rPr>
                <w:lang w:val="de-CH"/>
              </w:rPr>
            </w:pPr>
          </w:p>
        </w:tc>
      </w:tr>
      <w:tr w:rsidR="00F71EBF" w:rsidRPr="00293141" w:rsidTr="00F71EBF">
        <w:trPr>
          <w:cantSplit/>
        </w:trPr>
        <w:tc>
          <w:tcPr>
            <w:tcW w:w="4951" w:type="dxa"/>
            <w:tcBorders>
              <w:left w:val="single" w:sz="4" w:space="0" w:color="000000"/>
            </w:tcBorders>
            <w:shd w:val="clear" w:color="auto" w:fill="auto"/>
          </w:tcPr>
          <w:p w:rsidR="00F71EBF" w:rsidRPr="00F71EBF" w:rsidRDefault="00F71EBF" w:rsidP="00F71EBF">
            <w:pPr>
              <w:pStyle w:val="TableContents"/>
            </w:pPr>
            <w:r w:rsidRPr="00F71EBF">
              <w:rPr>
                <w:vertAlign w:val="superscript"/>
              </w:rPr>
              <w:t>1</w:t>
            </w:r>
            <w:r w:rsidRPr="00F71EBF">
              <w:t> L'unité germanophone de la HEP-VS est localisée à Brig-Glis.</w:t>
            </w:r>
          </w:p>
        </w:tc>
        <w:tc>
          <w:tcPr>
            <w:tcW w:w="4951" w:type="dxa"/>
            <w:tcBorders>
              <w:left w:val="single" w:sz="4" w:space="0" w:color="000000"/>
            </w:tcBorders>
            <w:shd w:val="clear" w:color="auto" w:fill="auto"/>
          </w:tcPr>
          <w:p w:rsidR="00F71EBF" w:rsidRPr="00293141" w:rsidRDefault="00F71EBF" w:rsidP="00F71EBF">
            <w:pPr>
              <w:pStyle w:val="TableContents"/>
              <w:rPr>
                <w:lang w:val="de-CH"/>
              </w:rPr>
            </w:pPr>
          </w:p>
        </w:tc>
        <w:tc>
          <w:tcPr>
            <w:tcW w:w="4952" w:type="dxa"/>
            <w:tcBorders>
              <w:left w:val="single" w:sz="4" w:space="0" w:color="000000"/>
              <w:right w:val="single" w:sz="4" w:space="0" w:color="000000"/>
            </w:tcBorders>
            <w:shd w:val="clear" w:color="auto" w:fill="auto"/>
          </w:tcPr>
          <w:p w:rsidR="00F71EBF" w:rsidRPr="00293141" w:rsidRDefault="00F71EBF" w:rsidP="00F71EBF">
            <w:pPr>
              <w:rPr>
                <w:lang w:val="de-CH"/>
              </w:rPr>
            </w:pPr>
          </w:p>
        </w:tc>
      </w:tr>
      <w:tr w:rsidR="00F71EBF" w:rsidTr="00F71EBF">
        <w:trPr>
          <w:cantSplit/>
        </w:trPr>
        <w:tc>
          <w:tcPr>
            <w:tcW w:w="4951" w:type="dxa"/>
            <w:tcBorders>
              <w:left w:val="single" w:sz="4" w:space="0" w:color="000000"/>
            </w:tcBorders>
            <w:shd w:val="clear" w:color="auto" w:fill="auto"/>
          </w:tcPr>
          <w:p w:rsidR="00F71EBF" w:rsidRPr="00F71EBF" w:rsidRDefault="00F71EBF" w:rsidP="00F71EBF">
            <w:pPr>
              <w:pStyle w:val="TableContents"/>
            </w:pPr>
            <w:r w:rsidRPr="00F71EBF">
              <w:rPr>
                <w:vertAlign w:val="superscript"/>
              </w:rPr>
              <w:t>2</w:t>
            </w:r>
            <w:r w:rsidRPr="00F71EBF">
              <w:t> L'unité francophone de la HEP-VS est localisée à Saint-Maurice.</w:t>
            </w:r>
          </w:p>
        </w:tc>
        <w:tc>
          <w:tcPr>
            <w:tcW w:w="4951" w:type="dxa"/>
            <w:tcBorders>
              <w:left w:val="single" w:sz="4" w:space="0" w:color="000000"/>
            </w:tcBorders>
            <w:shd w:val="clear" w:color="auto" w:fill="auto"/>
          </w:tcPr>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t>Art.  3</w:t>
            </w:r>
            <w:r>
              <w:br/>
            </w:r>
            <w:r>
              <w:rPr>
                <w:sz w:val="14"/>
              </w:rPr>
              <w:t>…</w:t>
            </w: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p>
        </w:tc>
        <w:tc>
          <w:tcPr>
            <w:tcW w:w="4952" w:type="dxa"/>
            <w:tcBorders>
              <w:top w:val="single" w:sz="4" w:space="0" w:color="000000"/>
              <w:left w:val="single" w:sz="4" w:space="0" w:color="000000"/>
              <w:right w:val="single" w:sz="4" w:space="0" w:color="000000"/>
            </w:tcBorders>
            <w:shd w:val="clear" w:color="auto" w:fill="auto"/>
          </w:tcPr>
          <w:p w:rsidR="00F71EBF" w:rsidRDefault="00F71EBF" w:rsidP="00F71EBF"/>
        </w:tc>
      </w:tr>
      <w:tr w:rsidR="00F71EBF" w:rsidRPr="006611AF" w:rsidTr="00F71EBF">
        <w:trPr>
          <w:cantSplit/>
        </w:trPr>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t>Art.  4</w:t>
            </w:r>
            <w:r>
              <w:br/>
            </w:r>
            <w:r>
              <w:rPr>
                <w:sz w:val="14"/>
              </w:rPr>
              <w:t>Localisation de la HES-SO Valais/Wallis</w:t>
            </w: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t>Art.  4</w:t>
            </w:r>
            <w:r>
              <w:br/>
            </w:r>
            <w:r>
              <w:rPr>
                <w:sz w:val="14"/>
              </w:rPr>
              <w:t>Localisation de la HES-SO Valais-Wallis</w:t>
            </w:r>
          </w:p>
        </w:tc>
        <w:tc>
          <w:tcPr>
            <w:tcW w:w="4952" w:type="dxa"/>
            <w:tcBorders>
              <w:top w:val="single" w:sz="4" w:space="0" w:color="000000"/>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RPr="006611A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La HES-SO Valais/Wallis est localisée:</w:t>
            </w: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La HES-SO Valais-Wallis est localisée:</w:t>
            </w: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a) à Sion pour le domaine des Sciences de l'ingénieur et de la Santé (filière francophone en Soins infirmiers);</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ind w:left="149" w:right="3" w:hanging="189"/>
            </w:pPr>
          </w:p>
        </w:tc>
      </w:tr>
      <w:tr w:rsidR="00F71EBF" w:rsidRPr="006611A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b) à Sierre pour les domaines de l'Economie &amp; Services et du Travail social;</w:t>
            </w:r>
          </w:p>
        </w:tc>
        <w:tc>
          <w:tcPr>
            <w:tcW w:w="4951" w:type="dxa"/>
            <w:tcBorders>
              <w:left w:val="single" w:sz="4" w:space="0" w:color="000000"/>
            </w:tcBorders>
            <w:shd w:val="clear" w:color="auto" w:fill="auto"/>
          </w:tcPr>
          <w:p w:rsidR="00F71EBF" w:rsidRDefault="00F71EBF" w:rsidP="00F71EBF">
            <w:pPr>
              <w:pStyle w:val="TableContents"/>
              <w:ind w:left="149" w:right="3" w:hanging="189"/>
            </w:pPr>
            <w:r>
              <w:t xml:space="preserve">b) </w:t>
            </w:r>
            <w:r w:rsidR="008D2DFE" w:rsidRPr="008D2DFE">
              <w:t>à Sierre pour les domaines de l'Economie et Services, du Travail social et du Design et Arts visuels;</w:t>
            </w: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ind w:left="149" w:right="3" w:hanging="189"/>
              <w:rPr>
                <w:lang w:val="de-CH"/>
              </w:rPr>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c) à Loèche-les-Bains pour la filière Physiothérapie;</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ind w:left="149" w:right="3" w:hanging="189"/>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d) à Viège pour la filière germanophone en Soins infirmiers.</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ind w:left="149" w:right="3" w:hanging="189"/>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2</w:t>
            </w:r>
            <w:r>
              <w:t> La localisation de nouveaux domaines est de la compétence du Grand Conseil.</w:t>
            </w:r>
          </w:p>
        </w:tc>
        <w:tc>
          <w:tcPr>
            <w:tcW w:w="4951" w:type="dxa"/>
            <w:tcBorders>
              <w:left w:val="single" w:sz="4" w:space="0" w:color="000000"/>
            </w:tcBorders>
            <w:shd w:val="clear" w:color="auto" w:fill="auto"/>
          </w:tcPr>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3</w:t>
            </w:r>
            <w:r>
              <w:t> Dans les deux régions linguistiques, un organe est chargé d'assurer la liaison entre la HES-SO Valais/Wallis et l'économie.</w:t>
            </w:r>
          </w:p>
          <w:p w:rsidR="00F71EBF" w:rsidRDefault="00F71EBF" w:rsidP="00F71EBF">
            <w:pPr>
              <w:pStyle w:val="TableContents"/>
            </w:pPr>
          </w:p>
          <w:p w:rsidR="00F71EBF" w:rsidRDefault="00F71EBF" w:rsidP="00F71EBF">
            <w:pPr>
              <w:pStyle w:val="TableContents"/>
            </w:pPr>
          </w:p>
          <w:p w:rsidR="00F71EBF" w:rsidRDefault="00F71EBF" w:rsidP="00F71EBF">
            <w:pPr>
              <w:pStyle w:val="TableContents"/>
            </w:pPr>
          </w:p>
          <w:p w:rsidR="00F71EBF" w:rsidRDefault="00F71EBF" w:rsidP="00F71EBF">
            <w:pPr>
              <w:pStyle w:val="TableContents"/>
            </w:pPr>
          </w:p>
          <w:p w:rsidR="00F71EBF" w:rsidRDefault="00F71EBF" w:rsidP="00F71EBF">
            <w:pPr>
              <w:pStyle w:val="TableContents"/>
            </w:pPr>
          </w:p>
          <w:p w:rsidR="008D2DFE" w:rsidRDefault="008D2DFE" w:rsidP="00F71EBF">
            <w:pPr>
              <w:pStyle w:val="TableContents"/>
            </w:pPr>
          </w:p>
          <w:p w:rsidR="00F71EBF" w:rsidRDefault="00F71EBF" w:rsidP="00F71EBF">
            <w:pPr>
              <w:pStyle w:val="TableContents"/>
            </w:pP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3</w:t>
            </w:r>
            <w:r>
              <w:t> </w:t>
            </w:r>
            <w:r>
              <w:rPr>
                <w:i/>
                <w:iCs/>
              </w:rPr>
              <w:t>Abrogé.</w:t>
            </w:r>
          </w:p>
        </w:tc>
        <w:tc>
          <w:tcPr>
            <w:tcW w:w="4952" w:type="dxa"/>
            <w:tcBorders>
              <w:left w:val="single" w:sz="4" w:space="0" w:color="000000"/>
              <w:right w:val="single" w:sz="4" w:space="0" w:color="000000"/>
            </w:tcBorders>
            <w:shd w:val="clear" w:color="auto" w:fill="auto"/>
          </w:tcPr>
          <w:p w:rsidR="00F71EBF" w:rsidRDefault="00F71EBF" w:rsidP="00F71EBF">
            <w:pPr>
              <w:pStyle w:val="TableContents"/>
            </w:pPr>
          </w:p>
        </w:tc>
      </w:tr>
      <w:tr w:rsidR="00F71EBF" w:rsidTr="00F71EBF">
        <w:trPr>
          <w:cantSplit/>
        </w:trPr>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lastRenderedPageBreak/>
              <w:t>Art.  5</w:t>
            </w:r>
            <w:r>
              <w:br/>
            </w:r>
            <w:r>
              <w:rPr>
                <w:sz w:val="14"/>
              </w:rPr>
              <w:t>Contribution communale aux dépenses d'investissement et de location</w:t>
            </w: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p>
        </w:tc>
        <w:tc>
          <w:tcPr>
            <w:tcW w:w="4952" w:type="dxa"/>
            <w:tcBorders>
              <w:top w:val="single" w:sz="4" w:space="0" w:color="000000"/>
              <w:left w:val="single" w:sz="4" w:space="0" w:color="000000"/>
              <w:right w:val="single" w:sz="4" w:space="0" w:color="000000"/>
            </w:tcBorders>
            <w:shd w:val="clear" w:color="auto" w:fill="auto"/>
          </w:tcPr>
          <w:p w:rsidR="00F71EBF" w:rsidRDefault="00F71EBF" w:rsidP="00F71EBF"/>
        </w:tc>
      </w:tr>
      <w:tr w:rsidR="00F71EBF" w:rsidRPr="006611A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Les communes où sont érigés les bâtiments des institutions de formation et de recherche de niveau tertiaire financées ou subventionnées par l’Etat du Valais fournissent gratuitement les terrains nécessaires équipés.</w:t>
            </w: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Les communes où sont érigés les bâtiments des institutions cantonales de formation et de recherche du degré tertiaire financées ou subventionnées par l’Etat du Valais fournissent gratuitement les terrains nécessaires équipés.</w:t>
            </w: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2</w:t>
            </w:r>
            <w:r>
              <w:t> Les communes sièges participent en outre à hauteur de dix pour cent aux dépenses d’investissement comprenant:</w:t>
            </w:r>
          </w:p>
        </w:tc>
        <w:tc>
          <w:tcPr>
            <w:tcW w:w="4951" w:type="dxa"/>
            <w:tcBorders>
              <w:left w:val="single" w:sz="4" w:space="0" w:color="000000"/>
            </w:tcBorders>
            <w:shd w:val="clear" w:color="auto" w:fill="auto"/>
          </w:tcPr>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a) les coûts de construction, d'acquisition, d'extension, de rénovation, de transformation et d'équipement des bâtiments;</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ind w:left="149" w:right="3" w:hanging="189"/>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b) les coûts de renouvellement des équipements et installations: appareils, moyens informatiques, instruments, machines, meubles, mobilier, véhicules;</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ind w:left="149" w:right="3" w:hanging="189"/>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c) le cas échéant, les frais de location des locaux.</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ind w:left="149" w:right="3" w:hanging="189"/>
            </w:pPr>
          </w:p>
        </w:tc>
      </w:tr>
      <w:tr w:rsidR="00F71EBF" w:rsidRPr="006611AF" w:rsidTr="00F71EBF">
        <w:trPr>
          <w:cantSplit/>
        </w:trPr>
        <w:tc>
          <w:tcPr>
            <w:tcW w:w="4951" w:type="dxa"/>
            <w:tcBorders>
              <w:left w:val="single" w:sz="4" w:space="0" w:color="000000"/>
            </w:tcBorders>
            <w:shd w:val="clear" w:color="auto" w:fill="auto"/>
          </w:tcPr>
          <w:p w:rsidR="00F71EBF" w:rsidRDefault="00F71EBF" w:rsidP="00F71EBF">
            <w:pPr>
              <w:pStyle w:val="TableContents"/>
            </w:pP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2bis</w:t>
            </w:r>
            <w:r>
              <w:t> L'article 6a de la ​présente loi est réservé.</w:t>
            </w: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3</w:t>
            </w:r>
            <w:r>
              <w:t> Les communes de la région concernée peuvent convenir d’une répartition entre elles de cette contribution.</w:t>
            </w:r>
          </w:p>
        </w:tc>
        <w:tc>
          <w:tcPr>
            <w:tcW w:w="4951" w:type="dxa"/>
            <w:tcBorders>
              <w:left w:val="single" w:sz="4" w:space="0" w:color="000000"/>
            </w:tcBorders>
            <w:shd w:val="clear" w:color="auto" w:fill="auto"/>
          </w:tcPr>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pPr>
          </w:p>
        </w:tc>
      </w:tr>
      <w:tr w:rsidR="00F71EBF" w:rsidRPr="006611AF" w:rsidTr="00F71EBF">
        <w:trPr>
          <w:cantSplit/>
        </w:trPr>
        <w:tc>
          <w:tcPr>
            <w:tcW w:w="4951" w:type="dxa"/>
            <w:tcBorders>
              <w:left w:val="single" w:sz="4" w:space="0" w:color="000000"/>
            </w:tcBorders>
            <w:shd w:val="clear" w:color="auto" w:fill="auto"/>
          </w:tcPr>
          <w:p w:rsidR="00F71EBF" w:rsidRDefault="00F71EBF" w:rsidP="00F71EBF">
            <w:pPr>
              <w:pStyle w:val="TableContents"/>
            </w:pP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4</w:t>
            </w:r>
            <w:r>
              <w:t> Un règlement du Conseil d'Etat précise les éléments de calcul portant sur les contributions communales aux dépenses d'investissement et de location.</w:t>
            </w:r>
          </w:p>
          <w:p w:rsidR="00F71EBF" w:rsidRDefault="00F71EBF" w:rsidP="00F71EBF">
            <w:pPr>
              <w:pStyle w:val="TableContents"/>
            </w:pPr>
          </w:p>
          <w:p w:rsidR="00F71EBF" w:rsidRDefault="00F71EBF" w:rsidP="00F71EBF">
            <w:pPr>
              <w:pStyle w:val="TableContents"/>
            </w:pPr>
          </w:p>
          <w:p w:rsidR="00F71EBF" w:rsidRDefault="00F71EBF" w:rsidP="00F71EBF">
            <w:pPr>
              <w:pStyle w:val="TableContents"/>
            </w:pPr>
          </w:p>
          <w:p w:rsidR="00F71EBF" w:rsidRDefault="00F71EBF" w:rsidP="00F71EBF">
            <w:pPr>
              <w:pStyle w:val="TableContents"/>
            </w:pPr>
          </w:p>
          <w:p w:rsidR="00F71EBF" w:rsidRDefault="00F71EBF" w:rsidP="00F71EBF">
            <w:pPr>
              <w:pStyle w:val="TableContents"/>
            </w:pPr>
          </w:p>
          <w:p w:rsidR="008D2DFE" w:rsidRDefault="008D2DFE" w:rsidP="00F71EBF">
            <w:pPr>
              <w:pStyle w:val="TableContents"/>
            </w:pPr>
          </w:p>
          <w:p w:rsidR="00F71EBF" w:rsidRDefault="00F71EBF" w:rsidP="00F71EBF">
            <w:pPr>
              <w:pStyle w:val="TableContents"/>
            </w:pPr>
          </w:p>
          <w:p w:rsidR="00F71EBF" w:rsidRDefault="00F71EBF" w:rsidP="00F71EBF">
            <w:pPr>
              <w:pStyle w:val="TableContents"/>
            </w:pPr>
          </w:p>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RPr="006611AF" w:rsidTr="00F71EBF">
        <w:trPr>
          <w:cantSplit/>
        </w:trPr>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lastRenderedPageBreak/>
              <w:t>Art.  6</w:t>
            </w:r>
            <w:r>
              <w:br/>
            </w:r>
            <w:r>
              <w:rPr>
                <w:sz w:val="14"/>
              </w:rPr>
              <w:t>Contribution communale aux charges d'exploitation</w:t>
            </w: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t>Art.  6</w:t>
            </w:r>
            <w:r>
              <w:br/>
            </w:r>
            <w:r>
              <w:rPr>
                <w:sz w:val="14"/>
              </w:rPr>
              <w:t>Contribution communale aux dépenses de fonctionnement</w:t>
            </w:r>
          </w:p>
        </w:tc>
        <w:tc>
          <w:tcPr>
            <w:tcW w:w="4952" w:type="dxa"/>
            <w:tcBorders>
              <w:top w:val="single" w:sz="4" w:space="0" w:color="000000"/>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RPr="000E52A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Les communes sièges participent aux charges salariales brutes, y compris les charges sociales de l’employeur, du personnel enseignant et de direction en charge de l’enseignement de base et de la recherche-développement.</w:t>
            </w: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Les communes où sont érigés les bâtiments des institutions cantonales de formation et de recherche du degré tertiaire financées ou subventionnées par l’Etat du Valais contribuent aux dépenses de fonctionnement à hauteur de 10 pour cent des contributions pour la formation et la recherche versées par le canton du Valais et par la Confédération. L'article 6a de la ​présente loi est réservé.</w:t>
            </w:r>
          </w:p>
        </w:tc>
        <w:tc>
          <w:tcPr>
            <w:tcW w:w="4952" w:type="dxa"/>
            <w:tcBorders>
              <w:left w:val="single" w:sz="4" w:space="0" w:color="000000"/>
              <w:right w:val="single" w:sz="4" w:space="0" w:color="000000"/>
            </w:tcBorders>
            <w:shd w:val="clear" w:color="auto" w:fill="auto"/>
          </w:tcPr>
          <w:p w:rsidR="00F71EBF" w:rsidRPr="000E52AF" w:rsidRDefault="00F71EBF" w:rsidP="00F71EBF">
            <w:pPr>
              <w:pStyle w:val="TableContents"/>
              <w:rPr>
                <w:lang w:val="de-CH"/>
              </w:rPr>
            </w:pPr>
          </w:p>
        </w:tc>
      </w:tr>
      <w:tr w:rsidR="00F71EBF" w:rsidRPr="006611A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2</w:t>
            </w:r>
            <w:r>
              <w:t> Les établissements concernés sont les institutions de formation et de recherche de niveau tertiaire financées ou subventionnées par l’Etat du Valais.</w:t>
            </w: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2</w:t>
            </w:r>
            <w:r>
              <w:t> Lorsqu'une institution de formation et de recherche du degré tertiaire ​est présente sur le territoire de plusieurs communes (multisites), la contribution communale est répartie entre les différentes communes sièges en fonction du nombre d’équivalents plein temps (EPT) du personnel d’enseignement, de recherche et de direction rattaché aux différents sites selon conditions d’engagement.</w:t>
            </w: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RPr="006611A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3</w:t>
            </w:r>
            <w:r>
              <w:t> Les communes sièges participent à hauteur de dix pour cent de la masse salariale servie sur le site, selon l’alinéa 1.</w:t>
            </w: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3</w:t>
            </w:r>
            <w:r>
              <w:t> Lorsqu'une institution de formation et de recherche du degré tertiaire dont le mode d’enseignement est principalement à distance ​est présente sur le territoire de plusieurs communes (multisites), la contribution communale est répartie entre les différentes communes sièges en fonction du nombre d’équivalents plein temps (EPT) du personnel d’enseignement, de recherche et de direction présent physiquement (poste de travail) sur les différents sites.</w:t>
            </w: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jc w:val="both"/>
              <w:rPr>
                <w:lang w:val="de-CH"/>
              </w:rPr>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4</w:t>
            </w:r>
            <w:r>
              <w:t> Les communes de la région concernée peuvent convenir d’une répartition entre elles de cette contribution.</w:t>
            </w:r>
          </w:p>
        </w:tc>
        <w:tc>
          <w:tcPr>
            <w:tcW w:w="4951" w:type="dxa"/>
            <w:tcBorders>
              <w:left w:val="single" w:sz="4" w:space="0" w:color="000000"/>
            </w:tcBorders>
            <w:shd w:val="clear" w:color="auto" w:fill="auto"/>
          </w:tcPr>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pPr>
          </w:p>
        </w:tc>
      </w:tr>
      <w:tr w:rsidR="00F71EBF" w:rsidRPr="006611AF" w:rsidTr="00F71EBF">
        <w:trPr>
          <w:cantSplit/>
        </w:trPr>
        <w:tc>
          <w:tcPr>
            <w:tcW w:w="4951" w:type="dxa"/>
            <w:tcBorders>
              <w:left w:val="single" w:sz="4" w:space="0" w:color="000000"/>
            </w:tcBorders>
            <w:shd w:val="clear" w:color="auto" w:fill="auto"/>
          </w:tcPr>
          <w:p w:rsidR="00F71EBF" w:rsidRDefault="00F71EBF" w:rsidP="00F71EBF">
            <w:pPr>
              <w:pStyle w:val="TableContents"/>
            </w:pP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5</w:t>
            </w:r>
            <w:r>
              <w:t> Un règlement du Conseil d'Etat précise les éléments de calcul portant sur les contributions communales aux dépenses de fonctionnement.</w:t>
            </w:r>
          </w:p>
          <w:p w:rsidR="00F71EBF" w:rsidRDefault="00F71EBF" w:rsidP="00F71EBF">
            <w:pPr>
              <w:pStyle w:val="TableContents"/>
            </w:pPr>
          </w:p>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RPr="006611AF" w:rsidTr="00F71EBF">
        <w:trPr>
          <w:cantSplit/>
        </w:trPr>
        <w:tc>
          <w:tcPr>
            <w:tcW w:w="4951" w:type="dxa"/>
            <w:tcBorders>
              <w:top w:val="single" w:sz="4" w:space="0" w:color="000000"/>
              <w:left w:val="single" w:sz="4" w:space="0" w:color="000000"/>
            </w:tcBorders>
            <w:shd w:val="clear" w:color="auto" w:fill="auto"/>
          </w:tcPr>
          <w:p w:rsidR="00F71EBF" w:rsidRPr="006611AF" w:rsidRDefault="00F71EBF" w:rsidP="00F71EBF">
            <w:pPr>
              <w:pStyle w:val="TableContents"/>
              <w:rPr>
                <w:lang w:val="de-CH"/>
              </w:rPr>
            </w:pP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t>Art.  6a</w:t>
            </w:r>
            <w:r>
              <w:br/>
            </w:r>
            <w:r>
              <w:rPr>
                <w:sz w:val="14"/>
              </w:rPr>
              <w:t>Contribution communale aux dépenses d'investissement et de location et aux dépenses de fonctionnement pour les cas exceptionnels</w:t>
            </w:r>
          </w:p>
        </w:tc>
        <w:tc>
          <w:tcPr>
            <w:tcW w:w="4952" w:type="dxa"/>
            <w:tcBorders>
              <w:top w:val="single" w:sz="4" w:space="0" w:color="000000"/>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RPr="006611AF" w:rsidTr="00F71EBF">
        <w:trPr>
          <w:cantSplit/>
        </w:trPr>
        <w:tc>
          <w:tcPr>
            <w:tcW w:w="4951" w:type="dxa"/>
            <w:tcBorders>
              <w:left w:val="single" w:sz="4" w:space="0" w:color="000000"/>
            </w:tcBorders>
            <w:shd w:val="clear" w:color="auto" w:fill="auto"/>
          </w:tcPr>
          <w:p w:rsidR="00F71EBF" w:rsidRPr="006611AF" w:rsidRDefault="00F71EBF" w:rsidP="00F71EBF">
            <w:pPr>
              <w:pStyle w:val="TableContents"/>
              <w:rPr>
                <w:lang w:val="de-CH"/>
              </w:rPr>
            </w:pP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Sont considérés comme cas exceptionnels les institutions cantonales de formation et de recherche du degré tertiaire ​réunissant de manière cumulative les caractéristiques suivantes:</w:t>
            </w: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RPr="006611AF" w:rsidTr="00F71EBF">
        <w:trPr>
          <w:cantSplit/>
        </w:trPr>
        <w:tc>
          <w:tcPr>
            <w:tcW w:w="4951" w:type="dxa"/>
            <w:tcBorders>
              <w:left w:val="single" w:sz="4" w:space="0" w:color="000000"/>
            </w:tcBorders>
            <w:shd w:val="clear" w:color="auto" w:fill="auto"/>
          </w:tcPr>
          <w:p w:rsidR="00F71EBF" w:rsidRPr="006611AF" w:rsidRDefault="00F71EBF" w:rsidP="00F71EBF">
            <w:pPr>
              <w:pStyle w:val="TableContents"/>
              <w:ind w:left="149" w:right="3" w:hanging="189"/>
              <w:rPr>
                <w:lang w:val="de-CH"/>
              </w:rPr>
            </w:pPr>
          </w:p>
        </w:tc>
        <w:tc>
          <w:tcPr>
            <w:tcW w:w="4951" w:type="dxa"/>
            <w:tcBorders>
              <w:left w:val="single" w:sz="4" w:space="0" w:color="000000"/>
            </w:tcBorders>
            <w:shd w:val="clear" w:color="auto" w:fill="auto"/>
          </w:tcPr>
          <w:p w:rsidR="00F71EBF" w:rsidRDefault="00F71EBF" w:rsidP="00F71EBF">
            <w:pPr>
              <w:pStyle w:val="TableContents"/>
              <w:ind w:left="149" w:right="3" w:hanging="189"/>
            </w:pPr>
            <w:r>
              <w:t>a) l'institution est un site décentralisé dont le siège principal est situé hors du canton du Valais, et</w:t>
            </w: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ind w:left="149" w:right="3" w:hanging="189"/>
              <w:rPr>
                <w:lang w:val="de-CH"/>
              </w:rPr>
            </w:pPr>
          </w:p>
        </w:tc>
      </w:tr>
      <w:tr w:rsidR="00F71EBF" w:rsidRPr="006611AF" w:rsidTr="00F71EBF">
        <w:trPr>
          <w:cantSplit/>
        </w:trPr>
        <w:tc>
          <w:tcPr>
            <w:tcW w:w="4951" w:type="dxa"/>
            <w:tcBorders>
              <w:left w:val="single" w:sz="4" w:space="0" w:color="000000"/>
            </w:tcBorders>
            <w:shd w:val="clear" w:color="auto" w:fill="auto"/>
          </w:tcPr>
          <w:p w:rsidR="00F71EBF" w:rsidRPr="006611AF" w:rsidRDefault="00F71EBF" w:rsidP="00F71EBF">
            <w:pPr>
              <w:pStyle w:val="TableContents"/>
              <w:ind w:left="149" w:right="3" w:hanging="189"/>
              <w:rPr>
                <w:lang w:val="de-CH"/>
              </w:rPr>
            </w:pPr>
          </w:p>
        </w:tc>
        <w:tc>
          <w:tcPr>
            <w:tcW w:w="4951" w:type="dxa"/>
            <w:tcBorders>
              <w:left w:val="single" w:sz="4" w:space="0" w:color="000000"/>
            </w:tcBorders>
            <w:shd w:val="clear" w:color="auto" w:fill="auto"/>
          </w:tcPr>
          <w:p w:rsidR="00F71EBF" w:rsidRDefault="00F71EBF" w:rsidP="00F71EBF">
            <w:pPr>
              <w:pStyle w:val="TableContents"/>
              <w:ind w:left="149" w:right="3" w:hanging="189"/>
            </w:pPr>
            <w:r>
              <w:t>b) l'Etat du Valais subventionne cette institution sans pouvoir décisionnel sur le pilotage des dépenses au sens des articles 5 et 6 de la présente loi.</w:t>
            </w: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ind w:left="149" w:right="3" w:hanging="189"/>
              <w:rPr>
                <w:lang w:val="de-CH"/>
              </w:rPr>
            </w:pPr>
          </w:p>
        </w:tc>
      </w:tr>
      <w:tr w:rsidR="00F71EBF" w:rsidRPr="006611AF" w:rsidTr="00F71EBF">
        <w:trPr>
          <w:cantSplit/>
        </w:trPr>
        <w:tc>
          <w:tcPr>
            <w:tcW w:w="4951" w:type="dxa"/>
            <w:tcBorders>
              <w:left w:val="single" w:sz="4" w:space="0" w:color="000000"/>
            </w:tcBorders>
            <w:shd w:val="clear" w:color="auto" w:fill="auto"/>
          </w:tcPr>
          <w:p w:rsidR="00F71EBF" w:rsidRPr="006611AF" w:rsidRDefault="00F71EBF" w:rsidP="00F71EBF">
            <w:pPr>
              <w:pStyle w:val="TableContents"/>
              <w:rPr>
                <w:lang w:val="de-CH"/>
              </w:rPr>
            </w:pP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2</w:t>
            </w:r>
            <w:r>
              <w:t> Pour les cas exceptionnels définis à l'alinéa 1 du présent article, le Conseil d'Etat peut décider d'un aménagement de la base de calcul de la contribution communale ainsi que de modalités de versement particulières. La méthode de calcul retenue pour la fixation de la contribution communale doit respecter le principe de l'équité de traitement entre les différentes communes sites.</w:t>
            </w: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RPr="006611AF" w:rsidTr="00F71EBF">
        <w:trPr>
          <w:cantSplit/>
        </w:trPr>
        <w:tc>
          <w:tcPr>
            <w:tcW w:w="4951" w:type="dxa"/>
            <w:tcBorders>
              <w:top w:val="single" w:sz="4" w:space="0" w:color="000000"/>
              <w:left w:val="single" w:sz="4" w:space="0" w:color="000000"/>
            </w:tcBorders>
            <w:shd w:val="clear" w:color="auto" w:fill="auto"/>
          </w:tcPr>
          <w:p w:rsidR="00F71EBF" w:rsidRPr="006611AF" w:rsidRDefault="00F71EBF" w:rsidP="00F71EBF">
            <w:pPr>
              <w:pStyle w:val="TableContents"/>
              <w:rPr>
                <w:lang w:val="de-CH"/>
              </w:rPr>
            </w:pP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t>Art.  6b</w:t>
            </w:r>
            <w:r>
              <w:br/>
            </w:r>
            <w:r>
              <w:rPr>
                <w:sz w:val="14"/>
              </w:rPr>
              <w:t>Implantation d'une nouvelle institution cantonale de formation et de recherche du degré tertiaire</w:t>
            </w:r>
          </w:p>
        </w:tc>
        <w:tc>
          <w:tcPr>
            <w:tcW w:w="4952" w:type="dxa"/>
            <w:tcBorders>
              <w:top w:val="single" w:sz="4" w:space="0" w:color="000000"/>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RPr="006611AF" w:rsidTr="00F71EBF">
        <w:trPr>
          <w:cantSplit/>
        </w:trPr>
        <w:tc>
          <w:tcPr>
            <w:tcW w:w="4951" w:type="dxa"/>
            <w:tcBorders>
              <w:left w:val="single" w:sz="4" w:space="0" w:color="000000"/>
            </w:tcBorders>
            <w:shd w:val="clear" w:color="auto" w:fill="auto"/>
          </w:tcPr>
          <w:p w:rsidR="00F71EBF" w:rsidRPr="006611AF" w:rsidRDefault="00F71EBF" w:rsidP="00F71EBF">
            <w:pPr>
              <w:pStyle w:val="TableContents"/>
              <w:rPr>
                <w:lang w:val="de-CH"/>
              </w:rPr>
            </w:pP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En cas d’implantation d’une nouvelle institution cantonale de formation et de recherche du degré tertiaire sur leur territoire, la ou les communes concernées donnent leur accord.</w:t>
            </w:r>
          </w:p>
          <w:p w:rsidR="00F71EBF" w:rsidRDefault="00F71EBF" w:rsidP="00F71EBF">
            <w:pPr>
              <w:pStyle w:val="TableContents"/>
            </w:pPr>
          </w:p>
          <w:p w:rsidR="00F71EBF" w:rsidRDefault="00F71EBF" w:rsidP="00F71EBF">
            <w:pPr>
              <w:pStyle w:val="TableContents"/>
            </w:pPr>
          </w:p>
          <w:p w:rsidR="00F71EBF" w:rsidRDefault="00F71EBF" w:rsidP="00F71EBF">
            <w:pPr>
              <w:pStyle w:val="TableContents"/>
            </w:pPr>
          </w:p>
          <w:p w:rsidR="00F71EBF" w:rsidRDefault="00F71EBF" w:rsidP="00F71EBF">
            <w:pPr>
              <w:pStyle w:val="TableContents"/>
            </w:pPr>
          </w:p>
          <w:p w:rsidR="00F71EBF" w:rsidRDefault="00F71EBF" w:rsidP="00F71EBF">
            <w:pPr>
              <w:pStyle w:val="TableContents"/>
            </w:pPr>
          </w:p>
          <w:p w:rsidR="00F71EBF" w:rsidRDefault="00F71EBF" w:rsidP="00F71EBF">
            <w:pPr>
              <w:pStyle w:val="TableContents"/>
            </w:pPr>
          </w:p>
          <w:p w:rsidR="00F71EBF" w:rsidRDefault="00F71EBF" w:rsidP="00F71EBF">
            <w:pPr>
              <w:pStyle w:val="TableContents"/>
            </w:pPr>
          </w:p>
          <w:p w:rsidR="008D2DFE" w:rsidRDefault="008D2DFE" w:rsidP="00F71EBF">
            <w:pPr>
              <w:pStyle w:val="TableContents"/>
            </w:pPr>
          </w:p>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rPr>
                <w:lang w:val="de-CH"/>
              </w:rPr>
            </w:pPr>
          </w:p>
        </w:tc>
      </w:tr>
      <w:tr w:rsidR="00F71EBF" w:rsidTr="00F71EBF">
        <w:trPr>
          <w:cantSplit/>
        </w:trPr>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lastRenderedPageBreak/>
              <w:t>Art.  7</w:t>
            </w:r>
            <w:r>
              <w:br/>
            </w:r>
            <w:r>
              <w:rPr>
                <w:sz w:val="14"/>
              </w:rPr>
              <w:t>Période de calcul et versement de la contribution</w:t>
            </w: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p>
        </w:tc>
        <w:tc>
          <w:tcPr>
            <w:tcW w:w="4952" w:type="dxa"/>
            <w:tcBorders>
              <w:top w:val="single" w:sz="4" w:space="0" w:color="000000"/>
              <w:left w:val="single" w:sz="4" w:space="0" w:color="000000"/>
              <w:right w:val="single" w:sz="4" w:space="0" w:color="000000"/>
            </w:tcBorders>
            <w:shd w:val="clear" w:color="auto" w:fill="auto"/>
          </w:tcPr>
          <w:p w:rsidR="00F71EBF" w:rsidRDefault="00F71EBF" w:rsidP="00F71EBF"/>
        </w:tc>
      </w:tr>
      <w:tr w:rsidR="00F71EBF" w:rsidRPr="006611A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La contribution annuelle des communes sièges aux dépenses prévues à l'article 5 alinéa 2 lettres b et c ainsi qu'aux charges d'exploitation prévues à l'article 6 est calculée et enregistrée sur les comptes de l'année civile.</w:t>
            </w: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La contribution annuelle des communes sièges aux dépenses prévues à l'article 5 alinéa 2 lettres b et c ainsi qu'aux dépenses de fonctionnement prévues à l'article 6 est calculée et enregistrée sur les comptes de l'année civile.</w:t>
            </w:r>
          </w:p>
        </w:tc>
        <w:tc>
          <w:tcPr>
            <w:tcW w:w="4952" w:type="dxa"/>
            <w:tcBorders>
              <w:left w:val="single" w:sz="4" w:space="0" w:color="000000"/>
              <w:right w:val="single" w:sz="4" w:space="0" w:color="000000"/>
            </w:tcBorders>
            <w:shd w:val="clear" w:color="auto" w:fill="auto"/>
          </w:tcPr>
          <w:p w:rsidR="00F71EBF" w:rsidRPr="006611AF" w:rsidRDefault="00F71EBF" w:rsidP="00F71EBF">
            <w:pPr>
              <w:pStyle w:val="TableContents"/>
              <w:jc w:val="both"/>
              <w:rPr>
                <w:lang w:val="de-CH"/>
              </w:rPr>
            </w:pPr>
          </w:p>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2</w:t>
            </w:r>
            <w:r>
              <w:t> Leur participation aux coûts prévus à l'article 5 alinéa 2 lettre a est versée par acomptes échelonnés sur trois ans au plus à partir de l'utilisation des locaux.</w:t>
            </w:r>
          </w:p>
        </w:tc>
        <w:tc>
          <w:tcPr>
            <w:tcW w:w="4951" w:type="dxa"/>
            <w:tcBorders>
              <w:left w:val="single" w:sz="4" w:space="0" w:color="000000"/>
            </w:tcBorders>
            <w:shd w:val="clear" w:color="auto" w:fill="auto"/>
          </w:tcPr>
          <w:p w:rsidR="00F71EBF" w:rsidRDefault="00F71EBF" w:rsidP="00F71EBF">
            <w:pPr>
              <w:pStyle w:val="TableContents"/>
            </w:pPr>
            <w:r>
              <w:rPr>
                <w:vertAlign w:val="superscript"/>
              </w:rPr>
              <w:t>2</w:t>
            </w:r>
            <w:r>
              <w:t> Leur participation aux coûts prévus à l'article 5 alinéa 2 lettre a est versée par acomptes échelonnés à partir de l'utilisation des locaux. Cet échelonnement est validé par le Conseil d'Etat.</w:t>
            </w:r>
          </w:p>
        </w:tc>
        <w:tc>
          <w:tcPr>
            <w:tcW w:w="4952" w:type="dxa"/>
            <w:tcBorders>
              <w:left w:val="single" w:sz="4" w:space="0" w:color="000000"/>
              <w:right w:val="single" w:sz="4" w:space="0" w:color="000000"/>
            </w:tcBorders>
            <w:shd w:val="clear" w:color="auto" w:fill="auto"/>
          </w:tcPr>
          <w:p w:rsidR="00F71EBF" w:rsidRDefault="00F71EBF" w:rsidP="00F71EBF">
            <w:pPr>
              <w:pStyle w:val="TableContents"/>
              <w:jc w:val="both"/>
            </w:pPr>
          </w:p>
        </w:tc>
      </w:tr>
      <w:tr w:rsidR="00F71EBF" w:rsidTr="00F71EBF">
        <w:trPr>
          <w:cantSplit/>
        </w:trPr>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t>Art.  8</w:t>
            </w:r>
            <w:r>
              <w:br/>
            </w:r>
            <w:r>
              <w:rPr>
                <w:sz w:val="14"/>
              </w:rPr>
              <w:t>Clauses transitoires</w:t>
            </w: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p>
        </w:tc>
        <w:tc>
          <w:tcPr>
            <w:tcW w:w="4952" w:type="dxa"/>
            <w:tcBorders>
              <w:top w:val="single" w:sz="4" w:space="0" w:color="000000"/>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Jusqu'à l'entrée en vigueur de la présente loi, les anciennes dispositions fixant la contribution des communes sièges des écoles cantonales du degré tertiaire restent applicables.</w:t>
            </w:r>
          </w:p>
        </w:tc>
        <w:tc>
          <w:tcPr>
            <w:tcW w:w="4951" w:type="dxa"/>
            <w:tcBorders>
              <w:left w:val="single" w:sz="4" w:space="0" w:color="000000"/>
            </w:tcBorders>
            <w:shd w:val="clear" w:color="auto" w:fill="auto"/>
          </w:tcPr>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t>Art.  9</w:t>
            </w:r>
            <w:r>
              <w:br/>
            </w:r>
            <w:r>
              <w:rPr>
                <w:sz w:val="14"/>
              </w:rPr>
              <w:t>Clauses abrogatoires</w:t>
            </w: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p>
        </w:tc>
        <w:tc>
          <w:tcPr>
            <w:tcW w:w="4952" w:type="dxa"/>
            <w:tcBorders>
              <w:top w:val="single" w:sz="4" w:space="0" w:color="000000"/>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Dès l'entrée en vigueur de la présente loi, toutes les dispositions contraires sont abrogées, notamment:</w:t>
            </w:r>
          </w:p>
        </w:tc>
        <w:tc>
          <w:tcPr>
            <w:tcW w:w="4951" w:type="dxa"/>
            <w:tcBorders>
              <w:left w:val="single" w:sz="4" w:space="0" w:color="000000"/>
            </w:tcBorders>
            <w:shd w:val="clear" w:color="auto" w:fill="auto"/>
          </w:tcPr>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a) l'article 6 du décret concernant la création d'un centre valaisan de formation touristique du 10 novembre 1982;</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b) l'article 25 du décret concernant la création de l'école d'ingénieurs ETS du canton du Valais (EIV) du 26 juin 1987;</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c) les articles 1 et 17 du décret concernant la création d'une école supérieure de cadres pour l'économie et l'administration (ESCEA) à Viège du 29 janvier 1988;</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lastRenderedPageBreak/>
              <w:t>d) les articles 1, 18 et 19 du décret concernant la création d'une école supérieure de cadres pour l'économie et l'administration (ESCEA) et l'achat à cette fin des immeubles du collège Regina Pacis à Saint-Maurice du 29 janvier 1988;</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ind w:left="149" w:right="3" w:hanging="189"/>
            </w:pPr>
            <w:r>
              <w:t>e) l'article 19 du décret concernant la création d'une école technique cantonale en informatique (ETC) à Sierre du 25 mars 1988.</w:t>
            </w:r>
          </w:p>
        </w:tc>
        <w:tc>
          <w:tcPr>
            <w:tcW w:w="4951" w:type="dxa"/>
            <w:tcBorders>
              <w:left w:val="single" w:sz="4" w:space="0" w:color="000000"/>
            </w:tcBorders>
            <w:shd w:val="clear" w:color="auto" w:fill="auto"/>
          </w:tcPr>
          <w:p w:rsidR="00F71EBF" w:rsidRDefault="00F71EBF" w:rsidP="00F71EBF">
            <w:pPr>
              <w:pStyle w:val="TableContents"/>
              <w:ind w:left="149" w:right="3" w:hanging="189"/>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t>Art.  10</w:t>
            </w:r>
            <w:r>
              <w:br/>
            </w:r>
            <w:r>
              <w:rPr>
                <w:sz w:val="14"/>
              </w:rPr>
              <w:t>Référendum et entrée en vigueur</w:t>
            </w: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p>
        </w:tc>
        <w:tc>
          <w:tcPr>
            <w:tcW w:w="4952" w:type="dxa"/>
            <w:tcBorders>
              <w:top w:val="single" w:sz="4" w:space="0" w:color="000000"/>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1</w:t>
            </w:r>
            <w:r>
              <w:t> La présente loi est soumise au référendum facultatif.</w:t>
            </w:r>
          </w:p>
        </w:tc>
        <w:tc>
          <w:tcPr>
            <w:tcW w:w="4951" w:type="dxa"/>
            <w:tcBorders>
              <w:left w:val="single" w:sz="4" w:space="0" w:color="000000"/>
            </w:tcBorders>
            <w:shd w:val="clear" w:color="auto" w:fill="auto"/>
          </w:tcPr>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Tr="00F71EBF">
        <w:trPr>
          <w:cantSplit/>
        </w:trPr>
        <w:tc>
          <w:tcPr>
            <w:tcW w:w="4951" w:type="dxa"/>
            <w:tcBorders>
              <w:left w:val="single" w:sz="4" w:space="0" w:color="000000"/>
            </w:tcBorders>
            <w:shd w:val="clear" w:color="auto" w:fill="auto"/>
          </w:tcPr>
          <w:p w:rsidR="00F71EBF" w:rsidRDefault="00F71EBF" w:rsidP="00F71EBF">
            <w:pPr>
              <w:pStyle w:val="TableContents"/>
            </w:pPr>
            <w:r>
              <w:rPr>
                <w:vertAlign w:val="superscript"/>
              </w:rPr>
              <w:t>2</w:t>
            </w:r>
            <w:r>
              <w:t> Le Conseil d'Etat est chargé de son exécution; il fixe la date de son entrée en vigueur qui peut être différenciée par école et commune siège.</w:t>
            </w:r>
          </w:p>
        </w:tc>
        <w:tc>
          <w:tcPr>
            <w:tcW w:w="4951" w:type="dxa"/>
            <w:tcBorders>
              <w:left w:val="single" w:sz="4" w:space="0" w:color="000000"/>
            </w:tcBorders>
            <w:shd w:val="clear" w:color="auto" w:fill="auto"/>
          </w:tcPr>
          <w:p w:rsidR="00F71EBF" w:rsidRDefault="00F71EBF" w:rsidP="00F71EBF">
            <w:pPr>
              <w:pStyle w:val="TableContents"/>
            </w:pPr>
          </w:p>
        </w:tc>
        <w:tc>
          <w:tcPr>
            <w:tcW w:w="4952" w:type="dxa"/>
            <w:tcBorders>
              <w:left w:val="single" w:sz="4" w:space="0" w:color="000000"/>
              <w:right w:val="single" w:sz="4" w:space="0" w:color="000000"/>
            </w:tcBorders>
            <w:shd w:val="clear" w:color="auto" w:fill="auto"/>
          </w:tcPr>
          <w:p w:rsidR="00F71EBF" w:rsidRDefault="00F71EBF" w:rsidP="00F71EBF"/>
        </w:tc>
      </w:tr>
      <w:tr w:rsidR="00F71EBF" w:rsidTr="00F71EBF">
        <w:tc>
          <w:tcPr>
            <w:tcW w:w="4951" w:type="dxa"/>
            <w:tcBorders>
              <w:top w:val="single" w:sz="4" w:space="0" w:color="000000"/>
              <w:left w:val="single" w:sz="4" w:space="0" w:color="000000"/>
              <w:bottom w:val="single" w:sz="4" w:space="0" w:color="000000"/>
            </w:tcBorders>
            <w:shd w:val="clear" w:color="auto" w:fill="auto"/>
          </w:tcPr>
          <w:p w:rsidR="00F71EBF" w:rsidRDefault="00F71EBF" w:rsidP="00F71EBF">
            <w:pPr>
              <w:pStyle w:val="TableContents"/>
            </w:pPr>
            <w:r>
              <w:t>     </w:t>
            </w:r>
          </w:p>
        </w:tc>
        <w:tc>
          <w:tcPr>
            <w:tcW w:w="4951" w:type="dxa"/>
            <w:tcBorders>
              <w:top w:val="single" w:sz="4" w:space="0" w:color="000000"/>
              <w:left w:val="single" w:sz="4" w:space="0" w:color="000000"/>
              <w:bottom w:val="single" w:sz="4" w:space="0" w:color="000000"/>
            </w:tcBorders>
            <w:shd w:val="clear" w:color="auto" w:fill="auto"/>
          </w:tcPr>
          <w:p w:rsidR="00F71EBF" w:rsidRDefault="00F71EBF" w:rsidP="00F71EBF">
            <w:pPr>
              <w:pStyle w:val="TableContents"/>
            </w:pPr>
            <w:r>
              <w:rPr>
                <w:b/>
                <w:bCs/>
                <w:sz w:val="22"/>
              </w:rPr>
              <w:t>T1 Dispositions transitoires</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F71EBF" w:rsidRDefault="00F71EBF" w:rsidP="00F71EBF">
            <w:pPr>
              <w:pStyle w:val="TableContents"/>
            </w:pPr>
          </w:p>
        </w:tc>
      </w:tr>
      <w:tr w:rsidR="00F71EBF" w:rsidTr="00F71EBF">
        <w:trPr>
          <w:cantSplit/>
          <w:trHeight w:val="249"/>
        </w:trPr>
        <w:tc>
          <w:tcPr>
            <w:tcW w:w="4951" w:type="dxa"/>
            <w:tcBorders>
              <w:top w:val="single" w:sz="4" w:space="0" w:color="000000"/>
              <w:left w:val="single" w:sz="4" w:space="0" w:color="000000"/>
            </w:tcBorders>
            <w:shd w:val="clear" w:color="auto" w:fill="auto"/>
          </w:tcPr>
          <w:p w:rsidR="00F71EBF" w:rsidRDefault="00F71EBF" w:rsidP="00F71EBF">
            <w:pPr>
              <w:pStyle w:val="TableContents"/>
            </w:pPr>
          </w:p>
        </w:tc>
        <w:tc>
          <w:tcPr>
            <w:tcW w:w="4951" w:type="dxa"/>
            <w:tcBorders>
              <w:top w:val="single" w:sz="4" w:space="0" w:color="000000"/>
              <w:left w:val="single" w:sz="4" w:space="0" w:color="000000"/>
            </w:tcBorders>
            <w:shd w:val="clear" w:color="auto" w:fill="auto"/>
          </w:tcPr>
          <w:p w:rsidR="00F71EBF" w:rsidRDefault="00F71EBF" w:rsidP="00F71EBF">
            <w:pPr>
              <w:pStyle w:val="TableContents"/>
            </w:pPr>
            <w:r>
              <w:rPr>
                <w:b/>
                <w:bCs/>
              </w:rPr>
              <w:t>Art.  11</w:t>
            </w:r>
            <w:r>
              <w:br/>
            </w:r>
            <w:r>
              <w:rPr>
                <w:sz w:val="14"/>
              </w:rPr>
              <w:t>Clauses transitoires</w:t>
            </w:r>
          </w:p>
        </w:tc>
        <w:tc>
          <w:tcPr>
            <w:tcW w:w="4952" w:type="dxa"/>
            <w:tcBorders>
              <w:top w:val="single" w:sz="4" w:space="0" w:color="000000"/>
              <w:left w:val="single" w:sz="4" w:space="0" w:color="000000"/>
              <w:right w:val="single" w:sz="4" w:space="0" w:color="000000"/>
            </w:tcBorders>
            <w:shd w:val="clear" w:color="auto" w:fill="auto"/>
          </w:tcPr>
          <w:p w:rsidR="00F71EBF" w:rsidRDefault="00F71EBF" w:rsidP="00F71EBF">
            <w:pPr>
              <w:pStyle w:val="TableContents"/>
            </w:pPr>
          </w:p>
        </w:tc>
      </w:tr>
      <w:tr w:rsidR="00F71EBF" w:rsidRPr="006611AF" w:rsidTr="00F71EBF">
        <w:trPr>
          <w:cantSplit/>
        </w:trPr>
        <w:tc>
          <w:tcPr>
            <w:tcW w:w="4951" w:type="dxa"/>
            <w:tcBorders>
              <w:left w:val="single" w:sz="4" w:space="0" w:color="000000"/>
              <w:bottom w:val="single" w:sz="4" w:space="0" w:color="auto"/>
            </w:tcBorders>
            <w:shd w:val="clear" w:color="auto" w:fill="auto"/>
          </w:tcPr>
          <w:p w:rsidR="00F71EBF" w:rsidRDefault="00F71EBF" w:rsidP="00F71EBF">
            <w:pPr>
              <w:pStyle w:val="TableContents"/>
            </w:pPr>
          </w:p>
        </w:tc>
        <w:tc>
          <w:tcPr>
            <w:tcW w:w="4951" w:type="dxa"/>
            <w:tcBorders>
              <w:left w:val="single" w:sz="4" w:space="0" w:color="000000"/>
              <w:bottom w:val="single" w:sz="4" w:space="0" w:color="auto"/>
            </w:tcBorders>
            <w:shd w:val="clear" w:color="auto" w:fill="auto"/>
          </w:tcPr>
          <w:p w:rsidR="00F71EBF" w:rsidRDefault="00F71EBF" w:rsidP="00F71EBF">
            <w:pPr>
              <w:pStyle w:val="TableContents"/>
            </w:pPr>
            <w:r>
              <w:rPr>
                <w:vertAlign w:val="superscript"/>
              </w:rPr>
              <w:t>1</w:t>
            </w:r>
            <w:r>
              <w:t> Jusqu'à l'entrée en vigueur de la modification du XX.XX.XXXX de la présente loi, les dispositions en vigueur jusque-là et fixant la contribution des communes sièges des écoles cantonales du degré tertiaire restent applicables.</w:t>
            </w:r>
          </w:p>
        </w:tc>
        <w:tc>
          <w:tcPr>
            <w:tcW w:w="4952" w:type="dxa"/>
            <w:tcBorders>
              <w:left w:val="single" w:sz="4" w:space="0" w:color="000000"/>
              <w:bottom w:val="single" w:sz="4" w:space="0" w:color="auto"/>
              <w:right w:val="single" w:sz="4" w:space="0" w:color="000000"/>
            </w:tcBorders>
            <w:shd w:val="clear" w:color="auto" w:fill="auto"/>
          </w:tcPr>
          <w:p w:rsidR="00F71EBF" w:rsidRPr="006611AF" w:rsidRDefault="00F71EBF" w:rsidP="00F71EBF">
            <w:pPr>
              <w:pStyle w:val="TableContents"/>
              <w:rPr>
                <w:lang w:val="de-CH"/>
              </w:rPr>
            </w:pPr>
          </w:p>
        </w:tc>
      </w:tr>
    </w:tbl>
    <w:p w:rsidR="00FF1B7E" w:rsidRDefault="00FF1B7E">
      <w:pPr>
        <w:rPr>
          <w:lang w:val="de-CH"/>
        </w:rPr>
      </w:pPr>
    </w:p>
    <w:p w:rsidR="00F71EBF" w:rsidRDefault="00F71EBF">
      <w:pPr>
        <w:rPr>
          <w:lang w:val="de-CH"/>
        </w:rPr>
      </w:pPr>
    </w:p>
    <w:p w:rsidR="00F71EBF" w:rsidRDefault="00F71EBF">
      <w:pPr>
        <w:rPr>
          <w:lang w:val="de-CH"/>
        </w:rPr>
      </w:pPr>
    </w:p>
    <w:p w:rsidR="00F71EBF" w:rsidRDefault="00F71EBF">
      <w:pPr>
        <w:rPr>
          <w:lang w:val="de-CH"/>
        </w:rPr>
      </w:pPr>
    </w:p>
    <w:p w:rsidR="00F71EBF" w:rsidRDefault="00F71EBF">
      <w:pPr>
        <w:rPr>
          <w:lang w:val="de-CH"/>
        </w:rPr>
      </w:pPr>
    </w:p>
    <w:p w:rsidR="00F71EBF" w:rsidRDefault="00F71EBF">
      <w:pPr>
        <w:rPr>
          <w:lang w:val="de-CH"/>
        </w:rPr>
      </w:pPr>
    </w:p>
    <w:p w:rsidR="00F71EBF" w:rsidRDefault="00F71EBF">
      <w:pPr>
        <w:rPr>
          <w:lang w:val="de-CH"/>
        </w:rPr>
      </w:pPr>
    </w:p>
    <w:p w:rsidR="00F71EBF" w:rsidRDefault="00F71EBF">
      <w:pPr>
        <w:rPr>
          <w:lang w:val="de-CH"/>
        </w:rPr>
      </w:pPr>
    </w:p>
    <w:p w:rsidR="00F71EBF" w:rsidRDefault="00F71EBF">
      <w:pPr>
        <w:rPr>
          <w:lang w:val="de-CH"/>
        </w:rPr>
      </w:pPr>
    </w:p>
    <w:p w:rsidR="00F71EBF" w:rsidRDefault="00F71EBF">
      <w:pPr>
        <w:rPr>
          <w:lang w:val="de-CH"/>
        </w:rPr>
      </w:pPr>
    </w:p>
    <w:p w:rsidR="00F71EBF" w:rsidRDefault="00F71EBF">
      <w:pPr>
        <w:rPr>
          <w:lang w:val="de-CH"/>
        </w:rPr>
      </w:pPr>
    </w:p>
    <w:p w:rsidR="00F71EBF" w:rsidRDefault="00F71EBF">
      <w:pPr>
        <w:rPr>
          <w:lang w:val="de-CH"/>
        </w:rPr>
      </w:pPr>
    </w:p>
    <w:p w:rsidR="00F71EBF" w:rsidRDefault="00F71EBF" w:rsidP="00F71EBF">
      <w:pPr>
        <w:pStyle w:val="Paragraphedeliste"/>
        <w:ind w:left="0"/>
        <w:rPr>
          <w:b/>
          <w:bCs/>
          <w:sz w:val="22"/>
        </w:rPr>
      </w:pPr>
      <w:r>
        <w:rPr>
          <w:noProof/>
        </w:rPr>
        <w:lastRenderedPageBreak/>
        <mc:AlternateContent>
          <mc:Choice Requires="wps">
            <w:drawing>
              <wp:anchor distT="45720" distB="45720" distL="114300" distR="114300" simplePos="0" relativeHeight="251659264" behindDoc="0" locked="0" layoutInCell="1" allowOverlap="1" wp14:anchorId="7657326C" wp14:editId="0A3643A3">
                <wp:simplePos x="0" y="0"/>
                <wp:positionH relativeFrom="margin">
                  <wp:posOffset>21590</wp:posOffset>
                </wp:positionH>
                <wp:positionV relativeFrom="paragraph">
                  <wp:posOffset>269875</wp:posOffset>
                </wp:positionV>
                <wp:extent cx="9410700" cy="5503545"/>
                <wp:effectExtent l="0" t="0" r="19050" b="2095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0" cy="5503545"/>
                        </a:xfrm>
                        <a:prstGeom prst="rect">
                          <a:avLst/>
                        </a:prstGeom>
                        <a:solidFill>
                          <a:srgbClr val="FFFFFF"/>
                        </a:solidFill>
                        <a:ln w="9525">
                          <a:solidFill>
                            <a:srgbClr val="000000"/>
                          </a:solidFill>
                          <a:miter lim="800000"/>
                          <a:headEnd/>
                          <a:tailEnd/>
                        </a:ln>
                      </wps:spPr>
                      <wps:txbx>
                        <w:txbxContent>
                          <w:p w:rsidR="00F71EBF" w:rsidRDefault="00F71EBF" w:rsidP="00F71E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7326C" id="_x0000_t202" coordsize="21600,21600" o:spt="202" path="m,l,21600r21600,l21600,xe">
                <v:stroke joinstyle="miter"/>
                <v:path gradientshapeok="t" o:connecttype="rect"/>
              </v:shapetype>
              <v:shape id="Zone de texte 2" o:spid="_x0000_s1026" type="#_x0000_t202" style="position:absolute;margin-left:1.7pt;margin-top:21.25pt;width:741pt;height:43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">
                <v:textbox>
                  <w:txbxContent>
                    <w:p w:rsidR="00F71EBF" w:rsidRDefault="00F71EBF" w:rsidP="00F71EBF"/>
                  </w:txbxContent>
                </v:textbox>
                <w10:wrap type="square" anchorx="margin"/>
              </v:shape>
            </w:pict>
          </mc:Fallback>
        </mc:AlternateContent>
      </w:r>
      <w:r>
        <w:rPr>
          <w:b/>
          <w:bCs/>
          <w:sz w:val="22"/>
        </w:rPr>
        <w:t>2. Remarques et commentaires généraux</w:t>
      </w:r>
    </w:p>
    <w:p w:rsidR="00F71EBF" w:rsidRPr="006611AF" w:rsidRDefault="00F71EBF">
      <w:pPr>
        <w:rPr>
          <w:lang w:val="de-CH"/>
        </w:rPr>
      </w:pPr>
    </w:p>
    <w:sectPr w:rsidR="00F71EBF" w:rsidRPr="006611AF" w:rsidSect="008D2DFE">
      <w:headerReference w:type="even" r:id="rId9"/>
      <w:headerReference w:type="default" r:id="rId10"/>
      <w:headerReference w:type="first" r:id="rId11"/>
      <w:footnotePr>
        <w:numRestart w:val="eachPage"/>
      </w:footnotePr>
      <w:pgSz w:w="16838" w:h="11906" w:orient="landscape"/>
      <w:pgMar w:top="709" w:right="850" w:bottom="284" w:left="1134" w:header="426" w:footer="567" w:gutter="0"/>
      <w:cols w:space="720"/>
      <w:titlePg/>
      <w:docGrid w:linePitch="245" w:charSpace="92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905" w:rsidRDefault="00355905">
      <w:r>
        <w:separator/>
      </w:r>
    </w:p>
  </w:endnote>
  <w:endnote w:type="continuationSeparator" w:id="0">
    <w:p w:rsidR="00355905" w:rsidRDefault="0035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905" w:rsidRDefault="00355905">
      <w:r>
        <w:separator/>
      </w:r>
    </w:p>
  </w:footnote>
  <w:footnote w:type="continuationSeparator" w:id="0">
    <w:p w:rsidR="00355905" w:rsidRDefault="0035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7E" w:rsidRDefault="00FF1B7E">
    <w:pPr>
      <w:pStyle w:val="En-tte"/>
      <w:spacing w:line="240" w:lineRule="exact"/>
      <w:jc w:val="center"/>
    </w:pPr>
    <w:r>
      <w:rPr>
        <w:sz w:val="16"/>
      </w:rPr>
      <w:t xml:space="preserve">- </w:t>
    </w:r>
    <w:r>
      <w:rPr>
        <w:sz w:val="16"/>
      </w:rPr>
      <w:fldChar w:fldCharType="begin"/>
    </w:r>
    <w:r>
      <w:rPr>
        <w:sz w:val="16"/>
      </w:rPr>
      <w:instrText xml:space="preserve"> PAGE </w:instrText>
    </w:r>
    <w:r>
      <w:rPr>
        <w:sz w:val="16"/>
      </w:rPr>
      <w:fldChar w:fldCharType="separate"/>
    </w:r>
    <w:r w:rsidR="00B133A3">
      <w:rPr>
        <w:noProof/>
        <w:sz w:val="16"/>
      </w:rPr>
      <w:t>8</w:t>
    </w:r>
    <w:r>
      <w:rPr>
        <w:sz w:val="16"/>
      </w:rPr>
      <w:fldChar w:fldCharType="end"/>
    </w:r>
    <w:r>
      <w:rPr>
        <w:sz w:val="16"/>
      </w:rPr>
      <w:t xml:space="preserve"> -</w:t>
    </w:r>
  </w:p>
  <w:p w:rsidR="00FF1B7E" w:rsidRDefault="00FF1B7E">
    <w:pPr>
      <w:pStyle w:val="En-tte"/>
      <w:spacing w:line="240" w:lineRule="exact"/>
      <w:jc w:val="center"/>
      <w:rPr>
        <w:sz w:val="22"/>
      </w:rPr>
    </w:pPr>
  </w:p>
  <w:p w:rsidR="00FF1B7E" w:rsidRDefault="00FF1B7E">
    <w:pPr>
      <w:pStyle w:val="En-tte"/>
      <w:spacing w:line="240" w:lineRule="exact"/>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7E" w:rsidRDefault="00FF1B7E">
    <w:pPr>
      <w:pStyle w:val="En-tte"/>
      <w:spacing w:line="240" w:lineRule="exact"/>
      <w:jc w:val="center"/>
    </w:pPr>
    <w:r>
      <w:rPr>
        <w:sz w:val="16"/>
      </w:rPr>
      <w:t xml:space="preserve">- </w:t>
    </w:r>
    <w:r>
      <w:rPr>
        <w:sz w:val="16"/>
      </w:rPr>
      <w:fldChar w:fldCharType="begin"/>
    </w:r>
    <w:r>
      <w:rPr>
        <w:sz w:val="16"/>
      </w:rPr>
      <w:instrText xml:space="preserve"> PAGE </w:instrText>
    </w:r>
    <w:r>
      <w:rPr>
        <w:sz w:val="16"/>
      </w:rPr>
      <w:fldChar w:fldCharType="separate"/>
    </w:r>
    <w:r w:rsidR="00B133A3">
      <w:rPr>
        <w:noProof/>
        <w:sz w:val="16"/>
      </w:rPr>
      <w:t>9</w:t>
    </w:r>
    <w:r>
      <w:rPr>
        <w:sz w:val="16"/>
      </w:rPr>
      <w:fldChar w:fldCharType="end"/>
    </w:r>
    <w:r>
      <w:rPr>
        <w:sz w:val="16"/>
      </w:rPr>
      <w:t xml:space="preserve"> -</w:t>
    </w:r>
  </w:p>
  <w:p w:rsidR="00FF1B7E" w:rsidRDefault="00FF1B7E">
    <w:pPr>
      <w:pStyle w:val="En-tte"/>
      <w:spacing w:line="240" w:lineRule="exact"/>
      <w:jc w:val="center"/>
      <w:rPr>
        <w:sz w:val="22"/>
      </w:rPr>
    </w:pPr>
  </w:p>
  <w:p w:rsidR="00FF1B7E" w:rsidRDefault="00FF1B7E">
    <w:pPr>
      <w:pStyle w:val="En-tte"/>
      <w:spacing w:line="240" w:lineRule="exact"/>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7E" w:rsidRDefault="00FF1B7E">
    <w:pPr>
      <w:pStyle w:val="En-tte"/>
      <w:spacing w:line="240" w:lineRule="exact"/>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96819"/>
    <w:multiLevelType w:val="hybridMultilevel"/>
    <w:tmpl w:val="A2B0AAD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73B778D2"/>
    <w:multiLevelType w:val="hybridMultilevel"/>
    <w:tmpl w:val="C6CE602E"/>
    <w:lvl w:ilvl="0" w:tplc="100C0017">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58"/>
    <w:rsid w:val="00034AB0"/>
    <w:rsid w:val="00075D84"/>
    <w:rsid w:val="00085046"/>
    <w:rsid w:val="000B7E20"/>
    <w:rsid w:val="000D0763"/>
    <w:rsid w:val="000E52AF"/>
    <w:rsid w:val="001E790B"/>
    <w:rsid w:val="00293141"/>
    <w:rsid w:val="00355905"/>
    <w:rsid w:val="003B12D8"/>
    <w:rsid w:val="003C7EDD"/>
    <w:rsid w:val="00466DED"/>
    <w:rsid w:val="00490E7B"/>
    <w:rsid w:val="00517219"/>
    <w:rsid w:val="00536328"/>
    <w:rsid w:val="006611AF"/>
    <w:rsid w:val="00670412"/>
    <w:rsid w:val="00675F13"/>
    <w:rsid w:val="007F6C58"/>
    <w:rsid w:val="0084010E"/>
    <w:rsid w:val="008B5436"/>
    <w:rsid w:val="008D2DFE"/>
    <w:rsid w:val="00957727"/>
    <w:rsid w:val="00AF6956"/>
    <w:rsid w:val="00B133A3"/>
    <w:rsid w:val="00E17ED5"/>
    <w:rsid w:val="00EA7D0A"/>
    <w:rsid w:val="00EB084D"/>
    <w:rsid w:val="00F71EBF"/>
    <w:rsid w:val="00FF1B7E"/>
  </w:rsids>
  <m:mathPr>
    <m:mathFont m:val="Cambria Math"/>
    <m:brkBin m:val="before"/>
    <m:brkBinSub m:val="--"/>
    <m:smallFrac m:val="0"/>
    <m:dispDef/>
    <m:lMargin m:val="0"/>
    <m:rMargin m:val="0"/>
    <m:defJc m:val="centerGroup"/>
    <m:wrapRight/>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5FBBAB3"/>
  <w15:chartTrackingRefBased/>
  <w15:docId w15:val="{1DC6AA70-9305-42D4-880D-79CD7E20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Lines/>
      <w:widowControl w:val="0"/>
      <w:tabs>
        <w:tab w:val="right" w:pos="14854"/>
      </w:tabs>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styleId="Appelnotedebasdep">
    <w:name w:val="footnote reference"/>
    <w:rPr>
      <w:b w:val="0"/>
      <w:vertAlign w:val="superscript"/>
    </w:rPr>
  </w:style>
  <w:style w:type="character" w:customStyle="1" w:styleId="FootnoteCharacters">
    <w:name w:val="Footnote Characters"/>
    <w:rPr>
      <w:rFonts w:ascii="Arial" w:hAnsi="Arial"/>
      <w:vertAlign w:val="superscript"/>
    </w:rPr>
  </w:style>
  <w:style w:type="character" w:styleId="Lienhypertexte">
    <w:name w:val="Hyperlink"/>
    <w:rPr>
      <w:color w:val="000080"/>
      <w:u w:val="single"/>
    </w:rPr>
  </w:style>
  <w:style w:type="paragraph" w:customStyle="1" w:styleId="Autor">
    <w:name w:val="Autor"/>
    <w:basedOn w:val="Normal"/>
    <w:rPr>
      <w:i/>
      <w:iCs/>
    </w:rPr>
  </w:style>
  <w:style w:type="paragraph" w:customStyle="1" w:styleId="Aktion">
    <w:name w:val="Aktion"/>
    <w:basedOn w:val="Normal"/>
    <w:rPr>
      <w:i/>
      <w:iCs/>
    </w:rPr>
  </w:style>
  <w:style w:type="paragraph" w:customStyle="1" w:styleId="EmptySectionRemark">
    <w:name w:val="Empty_Section_Remark"/>
    <w:basedOn w:val="Normal"/>
    <w:rPr>
      <w:i/>
      <w:iCs/>
    </w:rPr>
  </w:style>
  <w:style w:type="paragraph" w:customStyle="1" w:styleId="StandardvorAufzhlung">
    <w:name w:val="Standard vor Aufzählung"/>
    <w:basedOn w:val="Normal"/>
  </w:style>
  <w:style w:type="paragraph" w:customStyle="1" w:styleId="StandardvorTabelle">
    <w:name w:val="Standard vor Tabelle"/>
    <w:basedOn w:val="Normal"/>
  </w:style>
  <w:style w:type="paragraph" w:styleId="En-tte">
    <w:name w:val="header"/>
    <w:pPr>
      <w:widowControl w:val="0"/>
      <w:tabs>
        <w:tab w:val="right" w:pos="14854"/>
      </w:tabs>
      <w:suppressAutoHyphens/>
    </w:pPr>
    <w:rPr>
      <w:rFonts w:ascii="Arial" w:hAnsi="Arial"/>
      <w:sz w:val="18"/>
    </w:rPr>
  </w:style>
  <w:style w:type="paragraph" w:styleId="Pieddepage">
    <w:name w:val="footer"/>
    <w:basedOn w:val="En-tte"/>
  </w:style>
  <w:style w:type="paragraph" w:customStyle="1" w:styleId="Erlasstitel">
    <w:name w:val="Erlasstitel"/>
    <w:basedOn w:val="Normal"/>
    <w:next w:val="Datum"/>
    <w:pPr>
      <w:keepNext/>
      <w:suppressAutoHyphens/>
      <w:spacing w:before="240" w:after="240"/>
    </w:pPr>
    <w:rPr>
      <w:b/>
      <w:sz w:val="24"/>
    </w:rPr>
  </w:style>
  <w:style w:type="paragraph" w:customStyle="1" w:styleId="Datum">
    <w:name w:val="Datum"/>
    <w:basedOn w:val="Normal"/>
    <w:next w:val="Autor"/>
    <w:pPr>
      <w:keepNext/>
      <w:pBdr>
        <w:top w:val="none" w:sz="0" w:space="0" w:color="000000"/>
        <w:left w:val="none" w:sz="0" w:space="0" w:color="000000"/>
        <w:bottom w:val="single" w:sz="4" w:space="10" w:color="000000"/>
        <w:right w:val="none" w:sz="0" w:space="0" w:color="000000"/>
      </w:pBdr>
      <w:spacing w:after="240"/>
      <w:ind w:left="28" w:right="28"/>
    </w:pPr>
    <w:rPr>
      <w:position w:val="2"/>
    </w:rPr>
  </w:style>
  <w:style w:type="paragraph" w:customStyle="1" w:styleId="Grundlage">
    <w:name w:val="Grundlage"/>
    <w:basedOn w:val="Normal"/>
    <w:next w:val="Aktion"/>
    <w:pPr>
      <w:spacing w:before="240" w:after="40"/>
    </w:pPr>
  </w:style>
  <w:style w:type="paragraph" w:customStyle="1" w:styleId="Schluss">
    <w:name w:val="Schluss"/>
    <w:basedOn w:val="Normal"/>
    <w:pPr>
      <w:tabs>
        <w:tab w:val="clear" w:pos="14854"/>
        <w:tab w:val="left" w:pos="6124"/>
      </w:tabs>
      <w:spacing w:before="480" w:after="40"/>
      <w:ind w:left="3062" w:hanging="3062"/>
    </w:pPr>
  </w:style>
  <w:style w:type="paragraph" w:customStyle="1" w:styleId="Nebenzitat">
    <w:name w:val="Nebenzitat"/>
    <w:basedOn w:val="Normal"/>
  </w:style>
  <w:style w:type="paragraph" w:customStyle="1" w:styleId="Abschnittstitel">
    <w:name w:val="Abschnittstitel"/>
    <w:basedOn w:val="Normal"/>
    <w:pPr>
      <w:keepNext/>
      <w:suppressAutoHyphens/>
    </w:pPr>
    <w:rPr>
      <w:b/>
      <w:sz w:val="22"/>
    </w:rPr>
  </w:style>
  <w:style w:type="paragraph" w:customStyle="1" w:styleId="TitelStufe1">
    <w:name w:val="Titel Stufe 1"/>
    <w:basedOn w:val="Normal"/>
    <w:next w:val="Artikel"/>
    <w:pPr>
      <w:keepNext/>
      <w:suppressAutoHyphens/>
      <w:spacing w:before="360"/>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140" w:line="288" w:lineRule="auto"/>
    </w:pPr>
  </w:style>
  <w:style w:type="paragraph" w:styleId="Commentaire">
    <w:name w:val="annotation text"/>
    <w:basedOn w:val="Normal"/>
    <w:pPr>
      <w:keepNext/>
      <w:spacing w:line="144" w:lineRule="exact"/>
    </w:pPr>
    <w:rPr>
      <w:sz w:val="14"/>
    </w:rPr>
  </w:style>
  <w:style w:type="paragraph" w:customStyle="1" w:styleId="Artikel">
    <w:name w:val="Artikel"/>
    <w:basedOn w:val="Normal"/>
    <w:next w:val="Normal"/>
    <w:pPr>
      <w:keepNext/>
      <w:tabs>
        <w:tab w:val="clear" w:pos="14854"/>
        <w:tab w:val="left" w:pos="1360"/>
      </w:tabs>
      <w:spacing w:before="240" w:after="60"/>
      <w:ind w:left="680" w:hanging="680"/>
    </w:pPr>
  </w:style>
  <w:style w:type="paragraph" w:customStyle="1" w:styleId="Artikelaufgehoben">
    <w:name w:val="Artikel (aufgehoben)"/>
    <w:basedOn w:val="Artike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ste1">
    <w:name w:val="Liste 1"/>
    <w:basedOn w:val="Normal"/>
    <w:pPr>
      <w:ind w:left="340" w:hanging="340"/>
    </w:pPr>
  </w:style>
  <w:style w:type="paragraph" w:customStyle="1" w:styleId="Liste1mitUnterelementen">
    <w:name w:val="Liste 1 mit Unterelementen"/>
    <w:basedOn w:val="Liste1"/>
  </w:style>
  <w:style w:type="paragraph" w:customStyle="1" w:styleId="Liste21">
    <w:name w:val="Liste 21"/>
    <w:basedOn w:val="Liste1"/>
    <w:pPr>
      <w:ind w:left="680"/>
    </w:pPr>
  </w:style>
  <w:style w:type="paragraph" w:customStyle="1" w:styleId="Liste31">
    <w:name w:val="Liste 31"/>
    <w:basedOn w:val="Liste21"/>
    <w:pPr>
      <w:ind w:left="1021"/>
    </w:pPr>
  </w:style>
  <w:style w:type="paragraph" w:styleId="Notedebasdepage">
    <w:name w:val="footnote text"/>
    <w:basedOn w:val="Normal"/>
    <w:pPr>
      <w:spacing w:line="188" w:lineRule="exact"/>
      <w:ind w:left="210" w:hanging="210"/>
    </w:pPr>
    <w:rPr>
      <w:sz w:val="16"/>
    </w:rPr>
  </w:style>
  <w:style w:type="table" w:styleId="Grilledutableau">
    <w:name w:val="Table Grid"/>
    <w:basedOn w:val="TableauNormal"/>
    <w:uiPriority w:val="59"/>
    <w:rsid w:val="00F7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71EBF"/>
    <w:pPr>
      <w:ind w:left="720"/>
      <w:contextualSpacing/>
    </w:pPr>
  </w:style>
  <w:style w:type="character" w:customStyle="1" w:styleId="textcontent">
    <w:name w:val="text_content"/>
    <w:basedOn w:val="Policepardfaut"/>
    <w:rsid w:val="008D2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420328">
      <w:bodyDiv w:val="1"/>
      <w:marLeft w:val="0"/>
      <w:marRight w:val="0"/>
      <w:marTop w:val="0"/>
      <w:marBottom w:val="0"/>
      <w:divBdr>
        <w:top w:val="none" w:sz="0" w:space="0" w:color="auto"/>
        <w:left w:val="none" w:sz="0" w:space="0" w:color="auto"/>
        <w:bottom w:val="none" w:sz="0" w:space="0" w:color="auto"/>
        <w:right w:val="none" w:sz="0" w:space="0" w:color="auto"/>
      </w:divBdr>
    </w:div>
    <w:div w:id="1457865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m.vs.ch/dav/nodes/35291636/she%40admin.vs.ch"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1614</Words>
  <Characters>8879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GC/GR-2019-048</vt:lpstr>
    </vt:vector>
  </TitlesOfParts>
  <Company>Etat du Valais - Staat Wallis</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GC/GR-2019-048</dc:title>
  <dc:subject/>
  <dc:creator>Andre FISCHER</dc:creator>
  <cp:keywords/>
  <cp:lastModifiedBy>Andre FISCHER</cp:lastModifiedBy>
  <cp:revision>6</cp:revision>
  <cp:lastPrinted>1899-12-31T23:00:00Z</cp:lastPrinted>
  <dcterms:created xsi:type="dcterms:W3CDTF">2020-04-19T15:38:00Z</dcterms:created>
  <dcterms:modified xsi:type="dcterms:W3CDTF">2020-04-23T07:42:00Z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Synopse</vt:lpwstr>
  </property>
</Properties>
</file>