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975" w:rsidRDefault="00E97975" w:rsidP="00E97975">
      <w:pPr>
        <w:pStyle w:val="ACEn-tte"/>
        <w:tabs>
          <w:tab w:val="left" w:pos="426"/>
        </w:tabs>
        <w:ind w:left="680"/>
      </w:pPr>
    </w:p>
    <w:p w:rsidR="00E97975" w:rsidRPr="004C625F" w:rsidRDefault="00E97975" w:rsidP="00E97975">
      <w:pPr>
        <w:pStyle w:val="ACEn-tte"/>
        <w:tabs>
          <w:tab w:val="left" w:pos="426"/>
        </w:tabs>
        <w:spacing w:after="120"/>
        <w:ind w:left="680"/>
      </w:pPr>
    </w:p>
    <w:p w:rsidR="00E97975" w:rsidRPr="00777BE9" w:rsidRDefault="00E97975" w:rsidP="00E97975">
      <w:pPr>
        <w:pStyle w:val="ACEn-tte"/>
        <w:ind w:left="1418"/>
        <w:rPr>
          <w:b/>
          <w:szCs w:val="16"/>
          <w:lang w:val="fr-CH"/>
        </w:rPr>
      </w:pPr>
      <w:r w:rsidRPr="00777BE9">
        <w:rPr>
          <w:b/>
          <w:szCs w:val="16"/>
          <w:lang w:val="fr-CH"/>
        </w:rPr>
        <w:t xml:space="preserve">Département </w:t>
      </w:r>
      <w:r>
        <w:rPr>
          <w:b/>
          <w:szCs w:val="16"/>
          <w:lang w:val="fr-CH"/>
        </w:rPr>
        <w:t>de la santé, des affaires sociales et de la culture</w:t>
      </w:r>
    </w:p>
    <w:p w:rsidR="00E97975" w:rsidRPr="00F33A11" w:rsidRDefault="00E97975" w:rsidP="00E97975">
      <w:pPr>
        <w:pStyle w:val="ACEn-tte"/>
        <w:ind w:left="1418"/>
        <w:rPr>
          <w:b/>
          <w:lang w:val="de-CH"/>
        </w:rPr>
      </w:pPr>
      <w:r>
        <w:rPr>
          <w:b/>
          <w:lang w:val="de-CH"/>
        </w:rPr>
        <w:t>Departement für Gesundheit, Soziales und Kultur</w:t>
      </w:r>
    </w:p>
    <w:p w:rsidR="00E97975" w:rsidRPr="00E97975" w:rsidRDefault="00B827CA" w:rsidP="00E97975">
      <w:pPr>
        <w:rPr>
          <w:b/>
          <w:sz w:val="36"/>
          <w:lang w:val="de-CH"/>
        </w:rPr>
      </w:pPr>
      <w:r>
        <w:rPr>
          <w:noProof/>
        </w:rPr>
        <w:drawing>
          <wp:anchor distT="0" distB="0" distL="114300" distR="114300" simplePos="0" relativeHeight="251659264" behindDoc="0" locked="0" layoutInCell="1" allowOverlap="1">
            <wp:simplePos x="0" y="0"/>
            <wp:positionH relativeFrom="page">
              <wp:posOffset>208915</wp:posOffset>
            </wp:positionH>
            <wp:positionV relativeFrom="page">
              <wp:posOffset>353060</wp:posOffset>
            </wp:positionV>
            <wp:extent cx="1333500" cy="1162050"/>
            <wp:effectExtent l="0" t="0" r="0" b="0"/>
            <wp:wrapNone/>
            <wp:docPr id="2" name="Image 1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Logo Fi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7975" w:rsidRDefault="00E97975" w:rsidP="00E97975">
      <w:pPr>
        <w:rPr>
          <w:b/>
          <w:sz w:val="36"/>
          <w:lang w:val="de-CH"/>
        </w:rPr>
      </w:pPr>
    </w:p>
    <w:p w:rsidR="00E97975" w:rsidRPr="00E97975" w:rsidRDefault="00E97975" w:rsidP="00E97975">
      <w:pPr>
        <w:rPr>
          <w:b/>
          <w:sz w:val="32"/>
          <w:lang w:val="de-CH"/>
        </w:rPr>
      </w:pPr>
    </w:p>
    <w:p w:rsidR="00E97975" w:rsidRDefault="001509F1" w:rsidP="001509F1">
      <w:pPr>
        <w:jc w:val="center"/>
        <w:rPr>
          <w:b/>
          <w:sz w:val="32"/>
          <w:lang w:val="de-CH"/>
        </w:rPr>
      </w:pPr>
      <w:r w:rsidRPr="001509F1">
        <w:rPr>
          <w:b/>
          <w:sz w:val="32"/>
          <w:lang w:val="de-CH"/>
        </w:rPr>
        <w:t xml:space="preserve">Vernehmlassungsformular zum Vorentwurf der Änderung </w:t>
      </w:r>
      <w:r>
        <w:rPr>
          <w:b/>
          <w:sz w:val="32"/>
          <w:lang w:val="de-CH"/>
        </w:rPr>
        <w:br/>
      </w:r>
      <w:r w:rsidRPr="001509F1">
        <w:rPr>
          <w:b/>
          <w:sz w:val="32"/>
          <w:lang w:val="de-CH"/>
        </w:rPr>
        <w:t>des Ausführungsgesetzes</w:t>
      </w:r>
      <w:r>
        <w:rPr>
          <w:b/>
          <w:sz w:val="32"/>
          <w:lang w:val="de-CH"/>
        </w:rPr>
        <w:t xml:space="preserve"> </w:t>
      </w:r>
      <w:r w:rsidRPr="001509F1">
        <w:rPr>
          <w:b/>
          <w:sz w:val="32"/>
          <w:lang w:val="de-CH"/>
        </w:rPr>
        <w:t>zum Entsendegesetz und zum Bundesgesetz gegen die Schwarzarbeit</w:t>
      </w:r>
      <w:r>
        <w:rPr>
          <w:b/>
          <w:sz w:val="32"/>
          <w:lang w:val="de-CH"/>
        </w:rPr>
        <w:t xml:space="preserve"> (</w:t>
      </w:r>
      <w:r w:rsidRPr="001509F1">
        <w:rPr>
          <w:b/>
          <w:sz w:val="32"/>
          <w:lang w:val="de-CH"/>
        </w:rPr>
        <w:t>AGEntsGBGSA</w:t>
      </w:r>
      <w:r>
        <w:rPr>
          <w:b/>
          <w:sz w:val="32"/>
          <w:lang w:val="de-CH"/>
        </w:rPr>
        <w:t>)</w:t>
      </w:r>
    </w:p>
    <w:p w:rsidR="00853837" w:rsidRPr="001509F1" w:rsidRDefault="00853837" w:rsidP="001509F1">
      <w:pPr>
        <w:jc w:val="center"/>
        <w:rPr>
          <w:b/>
          <w:sz w:val="36"/>
          <w:lang w:val="de-CH"/>
        </w:rPr>
      </w:pPr>
    </w:p>
    <w:p w:rsidR="00E97975" w:rsidRDefault="008E167D" w:rsidP="00E97975">
      <w:pPr>
        <w:jc w:val="center"/>
        <w:rPr>
          <w:sz w:val="24"/>
          <w:lang w:val="de-CH"/>
        </w:rPr>
      </w:pPr>
      <w:r w:rsidRPr="001509F1">
        <w:rPr>
          <w:sz w:val="24"/>
          <w:lang w:val="de-CH"/>
        </w:rPr>
        <w:t>Einreichfrist:</w:t>
      </w:r>
      <w:r w:rsidR="001509F1" w:rsidRPr="001509F1">
        <w:rPr>
          <w:sz w:val="24"/>
          <w:lang w:val="de-CH"/>
        </w:rPr>
        <w:t xml:space="preserve"> </w:t>
      </w:r>
      <w:r w:rsidR="00BD348B">
        <w:rPr>
          <w:sz w:val="24"/>
          <w:lang w:val="de-CH"/>
        </w:rPr>
        <w:t xml:space="preserve">15. Juni </w:t>
      </w:r>
      <w:r w:rsidR="001509F1" w:rsidRPr="001509F1">
        <w:rPr>
          <w:sz w:val="24"/>
          <w:lang w:val="de-CH"/>
        </w:rPr>
        <w:t>2019</w:t>
      </w:r>
    </w:p>
    <w:p w:rsidR="00853837" w:rsidRPr="001509F1" w:rsidRDefault="00853837" w:rsidP="00E97975">
      <w:pPr>
        <w:jc w:val="center"/>
        <w:rPr>
          <w:lang w:val="de-CH"/>
        </w:rPr>
      </w:pPr>
    </w:p>
    <w:p w:rsidR="001509F1" w:rsidRPr="001509F1" w:rsidRDefault="00757C2A" w:rsidP="001509F1">
      <w:pPr>
        <w:jc w:val="center"/>
        <w:rPr>
          <w:lang w:val="de-CH"/>
        </w:rPr>
      </w:pPr>
      <w:r>
        <w:rPr>
          <w:lang w:val="de-CH"/>
        </w:rPr>
        <w:t>P</w:t>
      </w:r>
      <w:r w:rsidRPr="001509F1">
        <w:rPr>
          <w:lang w:val="de-CH"/>
        </w:rPr>
        <w:t xml:space="preserve">er E-Mail an </w:t>
      </w:r>
      <w:hyperlink r:id="rId8" w:history="1">
        <w:r w:rsidRPr="0078712C">
          <w:rPr>
            <w:rStyle w:val="Lienhypertexte"/>
            <w:lang w:val="de-CH"/>
          </w:rPr>
          <w:t>spt@admin.</w:t>
        </w:r>
        <w:bookmarkStart w:id="0" w:name="_GoBack"/>
        <w:r w:rsidRPr="0078712C">
          <w:rPr>
            <w:rStyle w:val="Lienhypertexte"/>
            <w:lang w:val="de-CH"/>
          </w:rPr>
          <w:t>v</w:t>
        </w:r>
        <w:r w:rsidRPr="00B16C63">
          <w:rPr>
            <w:rStyle w:val="Lienhypertexte"/>
            <w:lang w:val="de-CH"/>
          </w:rPr>
          <w:t>s.ch</w:t>
        </w:r>
        <w:bookmarkEnd w:id="0"/>
      </w:hyperlink>
      <w:r>
        <w:rPr>
          <w:rStyle w:val="Lienhypertexte"/>
          <w:color w:val="auto"/>
          <w:u w:val="none"/>
          <w:lang w:val="de-CH"/>
        </w:rPr>
        <w:t xml:space="preserve"> oder </w:t>
      </w:r>
      <w:r>
        <w:rPr>
          <w:lang w:val="de-CH"/>
        </w:rPr>
        <w:t>p</w:t>
      </w:r>
      <w:r w:rsidR="001509F1" w:rsidRPr="00757C2A">
        <w:rPr>
          <w:lang w:val="de-CH"/>
        </w:rPr>
        <w:t>er</w:t>
      </w:r>
      <w:r w:rsidR="001509F1" w:rsidRPr="001509F1">
        <w:rPr>
          <w:lang w:val="de-CH"/>
        </w:rPr>
        <w:t xml:space="preserve"> Post</w:t>
      </w:r>
      <w:r>
        <w:rPr>
          <w:lang w:val="de-CH"/>
        </w:rPr>
        <w:br/>
      </w:r>
      <w:r w:rsidR="001509F1" w:rsidRPr="001509F1">
        <w:rPr>
          <w:lang w:val="de-CH"/>
        </w:rPr>
        <w:t xml:space="preserve"> an der Dienststelle für Arbeits</w:t>
      </w:r>
      <w:r w:rsidR="001509F1">
        <w:rPr>
          <w:lang w:val="de-CH"/>
        </w:rPr>
        <w:t>nehmer</w:t>
      </w:r>
      <w:r w:rsidR="001509F1" w:rsidRPr="001509F1">
        <w:rPr>
          <w:lang w:val="de-CH"/>
        </w:rPr>
        <w:t>schutz und Arbeits</w:t>
      </w:r>
      <w:r w:rsidR="001509F1">
        <w:rPr>
          <w:lang w:val="de-CH"/>
        </w:rPr>
        <w:t>verhältnisses</w:t>
      </w:r>
      <w:r w:rsidR="001509F1" w:rsidRPr="001509F1">
        <w:rPr>
          <w:lang w:val="de-CH"/>
        </w:rPr>
        <w:t xml:space="preserve">, CP 478, 1951 </w:t>
      </w:r>
      <w:r w:rsidR="001509F1">
        <w:rPr>
          <w:lang w:val="de-CH"/>
        </w:rPr>
        <w:t>Sitten</w:t>
      </w:r>
    </w:p>
    <w:p w:rsidR="00B827CA" w:rsidRPr="001509F1" w:rsidRDefault="00B827CA" w:rsidP="00E97975">
      <w:pPr>
        <w:jc w:val="center"/>
        <w:rPr>
          <w:lang w:val="de-CH"/>
        </w:rPr>
      </w:pPr>
    </w:p>
    <w:tbl>
      <w:tblPr>
        <w:tblStyle w:val="Grilledutableau"/>
        <w:tblpPr w:leftFromText="141" w:rightFromText="141" w:vertAnchor="page" w:horzAnchor="margin" w:tblpXSpec="center" w:tblpY="6481"/>
        <w:tblW w:w="0" w:type="auto"/>
        <w:tblLook w:val="04A0" w:firstRow="1" w:lastRow="0" w:firstColumn="1" w:lastColumn="0" w:noHBand="0" w:noVBand="1"/>
      </w:tblPr>
      <w:tblGrid>
        <w:gridCol w:w="2627"/>
        <w:gridCol w:w="4320"/>
      </w:tblGrid>
      <w:tr w:rsidR="006B0455" w:rsidRPr="00B827CA" w:rsidTr="008E167D">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8E167D" w:rsidP="006B0455">
            <w:pPr>
              <w:spacing w:before="120"/>
              <w:jc w:val="right"/>
            </w:pPr>
            <w:r>
              <w:t>Name des Organismus</w:t>
            </w:r>
            <w:r w:rsidR="006B0455" w:rsidRPr="00B827CA">
              <w:t>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r w:rsidR="006B0455" w:rsidTr="008E167D">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1509F1" w:rsidP="006B0455">
            <w:pPr>
              <w:spacing w:before="120"/>
              <w:jc w:val="right"/>
            </w:pPr>
            <w:r>
              <w:t>Kontaktperson</w:t>
            </w:r>
            <w:r w:rsidR="006B0455">
              <w:t>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r w:rsidR="006B0455" w:rsidTr="008E167D">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Default="006B0455" w:rsidP="006B0455">
            <w:pPr>
              <w:spacing w:before="120"/>
              <w:jc w:val="right"/>
            </w:pPr>
            <w:r>
              <w:t>Adresse :</w:t>
            </w:r>
          </w:p>
          <w:p w:rsidR="006B0455" w:rsidRDefault="006B0455" w:rsidP="006B0455">
            <w:pPr>
              <w:spacing w:before="120"/>
              <w:jc w:val="right"/>
            </w:pPr>
          </w:p>
          <w:p w:rsidR="006B0455" w:rsidRDefault="006B0455" w:rsidP="006B0455">
            <w:pPr>
              <w:spacing w:before="120"/>
              <w:jc w:val="right"/>
            </w:pPr>
          </w:p>
          <w:p w:rsidR="006B0455" w:rsidRDefault="006B0455" w:rsidP="006B0455">
            <w:pPr>
              <w:spacing w:before="120"/>
              <w:jc w:val="right"/>
            </w:pPr>
          </w:p>
          <w:p w:rsidR="006B0455" w:rsidRPr="00B827CA" w:rsidRDefault="006B0455" w:rsidP="006B0455">
            <w:pPr>
              <w:spacing w:before="120"/>
              <w:jc w:val="right"/>
            </w:pP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r w:rsidR="006B0455" w:rsidTr="008E167D">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1509F1" w:rsidP="006B0455">
            <w:pPr>
              <w:spacing w:before="120"/>
              <w:jc w:val="right"/>
            </w:pPr>
            <w:r>
              <w:t>Telefonnummer</w:t>
            </w:r>
            <w:r w:rsidR="006B0455">
              <w:t>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r w:rsidR="006B0455" w:rsidTr="008E167D">
        <w:trPr>
          <w:trHeight w:val="339"/>
        </w:trPr>
        <w:tc>
          <w:tcPr>
            <w:tcW w:w="2627"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1509F1" w:rsidP="006B0455">
            <w:pPr>
              <w:spacing w:before="120"/>
              <w:jc w:val="right"/>
            </w:pPr>
            <w:r>
              <w:t>Datum</w:t>
            </w:r>
            <w:r w:rsidR="006B0455">
              <w:t> :</w:t>
            </w:r>
          </w:p>
        </w:tc>
        <w:tc>
          <w:tcPr>
            <w:tcW w:w="432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rsidR="006B0455" w:rsidRPr="00B827CA" w:rsidRDefault="006B0455" w:rsidP="006B0455">
            <w:pPr>
              <w:spacing w:before="240"/>
            </w:pPr>
          </w:p>
        </w:tc>
      </w:tr>
    </w:tbl>
    <w:p w:rsidR="00851A31" w:rsidRDefault="00E97975">
      <w:r>
        <w:br w:type="page"/>
      </w:r>
    </w:p>
    <w:p w:rsidR="00C70130" w:rsidRDefault="00C70130" w:rsidP="00C70130">
      <w:pPr>
        <w:pStyle w:val="Paragraphedeliste"/>
        <w:numPr>
          <w:ilvl w:val="0"/>
          <w:numId w:val="3"/>
        </w:numPr>
        <w:rPr>
          <w:b/>
          <w:bCs/>
          <w:sz w:val="22"/>
        </w:rPr>
      </w:pPr>
      <w:r w:rsidRPr="00C70130">
        <w:rPr>
          <w:b/>
          <w:bCs/>
          <w:sz w:val="22"/>
        </w:rPr>
        <w:lastRenderedPageBreak/>
        <w:t>Syn</w:t>
      </w:r>
      <w:r w:rsidR="008E167D">
        <w:rPr>
          <w:b/>
          <w:bCs/>
          <w:sz w:val="22"/>
        </w:rPr>
        <w:t>optische Übersicht nach Artikel</w:t>
      </w:r>
    </w:p>
    <w:p w:rsidR="00C70130" w:rsidRPr="00C70130" w:rsidRDefault="00C70130" w:rsidP="00C70130">
      <w:pPr>
        <w:pStyle w:val="Paragraphedeliste"/>
        <w:rPr>
          <w:b/>
          <w:bCs/>
          <w:sz w:val="22"/>
        </w:rPr>
      </w:pPr>
    </w:p>
    <w:tbl>
      <w:tblPr>
        <w:tblW w:w="0" w:type="auto"/>
        <w:tblInd w:w="108" w:type="dxa"/>
        <w:tblLayout w:type="fixed"/>
        <w:tblCellMar>
          <w:top w:w="108" w:type="dxa"/>
          <w:bottom w:w="108" w:type="dxa"/>
        </w:tblCellMar>
        <w:tblLook w:val="0000" w:firstRow="0" w:lastRow="0" w:firstColumn="0" w:lastColumn="0" w:noHBand="0" w:noVBand="0"/>
      </w:tblPr>
      <w:tblGrid>
        <w:gridCol w:w="4951"/>
        <w:gridCol w:w="4951"/>
        <w:gridCol w:w="4952"/>
      </w:tblGrid>
      <w:tr w:rsidR="00C70130" w:rsidTr="00430508">
        <w:trPr>
          <w:tblHeader/>
        </w:trPr>
        <w:tc>
          <w:tcPr>
            <w:tcW w:w="4951" w:type="dxa"/>
            <w:tcBorders>
              <w:top w:val="single" w:sz="4" w:space="0" w:color="000000"/>
              <w:left w:val="single" w:sz="4" w:space="0" w:color="000000"/>
              <w:bottom w:val="single" w:sz="4" w:space="0" w:color="000000"/>
            </w:tcBorders>
            <w:shd w:val="clear" w:color="auto" w:fill="E0E0E0"/>
            <w:vAlign w:val="center"/>
          </w:tcPr>
          <w:p w:rsidR="00C70130" w:rsidRDefault="00C70130" w:rsidP="00430508">
            <w:pPr>
              <w:pStyle w:val="TableContents"/>
            </w:pPr>
            <w:r>
              <w:rPr>
                <w:b/>
                <w:sz w:val="22"/>
                <w:lang w:val="de-CH"/>
              </w:rPr>
              <w:t>Geltendes Recht</w:t>
            </w:r>
          </w:p>
        </w:tc>
        <w:tc>
          <w:tcPr>
            <w:tcW w:w="4951" w:type="dxa"/>
            <w:tcBorders>
              <w:top w:val="single" w:sz="4" w:space="0" w:color="000000"/>
              <w:left w:val="single" w:sz="4" w:space="0" w:color="000000"/>
              <w:bottom w:val="single" w:sz="4" w:space="0" w:color="000000"/>
            </w:tcBorders>
            <w:shd w:val="clear" w:color="auto" w:fill="E0E0E0"/>
            <w:vAlign w:val="center"/>
          </w:tcPr>
          <w:p w:rsidR="00C70130" w:rsidRDefault="00C70130" w:rsidP="00430508">
            <w:pPr>
              <w:pStyle w:val="TableContents"/>
            </w:pPr>
            <w:r>
              <w:rPr>
                <w:b/>
                <w:sz w:val="22"/>
                <w:lang w:val="de-CH"/>
              </w:rPr>
              <w:t>Gesetzliche Vorentwurf</w:t>
            </w:r>
          </w:p>
        </w:tc>
        <w:tc>
          <w:tcPr>
            <w:tcW w:w="495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C70130" w:rsidRDefault="00C70130" w:rsidP="00430508">
            <w:pPr>
              <w:pStyle w:val="TableContents"/>
            </w:pPr>
            <w:r>
              <w:rPr>
                <w:b/>
                <w:sz w:val="22"/>
                <w:lang w:val="de-CH"/>
              </w:rPr>
              <w:t>     </w:t>
            </w:r>
            <w:r w:rsidR="00853837">
              <w:rPr>
                <w:b/>
                <w:sz w:val="22"/>
                <w:lang w:val="de-CH"/>
              </w:rPr>
              <w:t>Kommentaren / Bemerkungen</w:t>
            </w:r>
          </w:p>
        </w:tc>
      </w:tr>
      <w:tr w:rsidR="00C70130" w:rsidRPr="00757C2A" w:rsidTr="00853837">
        <w:tc>
          <w:tcPr>
            <w:tcW w:w="4951" w:type="dxa"/>
            <w:tcBorders>
              <w:top w:val="single" w:sz="4" w:space="0" w:color="000000"/>
              <w:left w:val="single" w:sz="4" w:space="0" w:color="000000"/>
            </w:tcBorders>
            <w:shd w:val="clear" w:color="auto" w:fill="F2F2F2" w:themeFill="background1" w:themeFillShade="F2"/>
          </w:tcPr>
          <w:p w:rsidR="00C70130" w:rsidRDefault="00C70130" w:rsidP="00853837">
            <w:pPr>
              <w:tabs>
                <w:tab w:val="clear" w:pos="14854"/>
                <w:tab w:val="left" w:pos="1305"/>
              </w:tabs>
              <w:rPr>
                <w:sz w:val="22"/>
                <w:lang w:val="de-CH"/>
              </w:rPr>
            </w:pPr>
          </w:p>
        </w:tc>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b/>
                <w:bCs/>
                <w:sz w:val="22"/>
                <w:lang w:val="de-CH"/>
              </w:rPr>
              <w:t>Ausführungsgesetzes zum Entsendegesetz und zum Bundesgesetz gegen die Schwarzarbeit</w:t>
            </w:r>
            <w:r>
              <w:rPr>
                <w:b/>
                <w:bCs/>
                <w:sz w:val="22"/>
                <w:lang w:val="de-CH"/>
              </w:rPr>
              <w:br/>
              <w:t>(AGEntsGBGSA)</w:t>
            </w:r>
          </w:p>
        </w:tc>
        <w:tc>
          <w:tcPr>
            <w:tcW w:w="4952" w:type="dxa"/>
            <w:tcBorders>
              <w:top w:val="single" w:sz="4" w:space="0" w:color="000000"/>
              <w:left w:val="single" w:sz="4" w:space="0" w:color="000000"/>
              <w:right w:val="single" w:sz="4" w:space="0" w:color="000000"/>
            </w:tcBorders>
            <w:shd w:val="clear" w:color="auto" w:fill="auto"/>
          </w:tcPr>
          <w:p w:rsidR="00C70130" w:rsidRPr="00C70130" w:rsidRDefault="00C70130" w:rsidP="00430508">
            <w:pPr>
              <w:pStyle w:val="TableContents"/>
              <w:rPr>
                <w:lang w:val="de-CH"/>
              </w:rPr>
            </w:pPr>
            <w:r>
              <w:rPr>
                <w:lang w:val="de-CH"/>
              </w:rPr>
              <w:t>     </w:t>
            </w:r>
          </w:p>
        </w:tc>
      </w:tr>
      <w:tr w:rsidR="00C70130" w:rsidRPr="00757C2A" w:rsidTr="00853837">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Autor"/>
              <w:rPr>
                <w:lang w:val="de-CH"/>
              </w:rPr>
            </w:pPr>
          </w:p>
        </w:tc>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Autor"/>
              <w:rPr>
                <w:lang w:val="de-CH"/>
              </w:rPr>
            </w:pPr>
            <w:r w:rsidRPr="00C70130">
              <w:rPr>
                <w:lang w:val="de-CH"/>
              </w:rPr>
              <w:t>Der Grosse Rat des Kantons Wallis</w:t>
            </w:r>
          </w:p>
        </w:tc>
        <w:tc>
          <w:tcPr>
            <w:tcW w:w="4952" w:type="dxa"/>
            <w:tcBorders>
              <w:top w:val="single" w:sz="4" w:space="0" w:color="000000"/>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853837" w:rsidRDefault="00C70130" w:rsidP="00430508">
            <w:pPr>
              <w:pStyle w:val="TableContents"/>
              <w:rPr>
                <w:lang w:val="de-CH"/>
              </w:rPr>
            </w:pPr>
            <w:r>
              <w:rPr>
                <w:lang w:val="de-CH"/>
              </w:rPr>
              <w:t>eingesehen die Artikel 31 Absatz 1 Ziffer 1, 32 Absatz 2 und 42 Absatz 3 der Kantonsverfassung;</w:t>
            </w:r>
            <w:r>
              <w:rPr>
                <w:lang w:val="de-CH"/>
              </w:rPr>
              <w:br/>
              <w:t>eingesehen Artikel 42 des Gesetzes über die Organisation der Räte und die Beziehungen zwischen den Gewalten vom 28. März 1996;</w:t>
            </w:r>
            <w:r>
              <w:rPr>
                <w:lang w:val="de-CH"/>
              </w:rPr>
              <w:br/>
              <w:t>eingesehen Artikel 27 des kantonalen Arbeitsgesetzes vom 12. Mai 2016;</w:t>
            </w:r>
            <w:r>
              <w:rPr>
                <w:lang w:val="de-CH"/>
              </w:rPr>
              <w:br/>
              <w:t>eingesehen das kantonale Ausführungsgesetz zum Entsendegesetz und zum Bundesgesetz gegen die Schwarzarbeit vom 12. Mai 2016 (AGEntsGBGSA);</w:t>
            </w:r>
            <w:r>
              <w:rPr>
                <w:lang w:val="de-CH"/>
              </w:rPr>
              <w:br/>
              <w:t>eingesehen Artikel 21 Absatz 5 des Gesetzes über das Personal des Staates Wallis vom 19. November 2010;</w:t>
            </w:r>
            <w:r>
              <w:rPr>
                <w:lang w:val="de-CH"/>
              </w:rPr>
              <w:br/>
              <w:t>eingesehen das kantonale Gesetz betreffend den Beitritt des Kantons Wallis zur Interkantonalen Vereinbarung über das öffentliche Beschaffungswesen vom 8. Mai 2003;eingesehen die Notwendigkeit:</w:t>
            </w:r>
            <w:r>
              <w:rPr>
                <w:lang w:val="de-CH"/>
              </w:rPr>
              <w:br/>
              <w:t> - auf dem Walliser Kantonsgebiet einen gesunden Wettbewerb zu fördern und Wettbewerbsverzerrungen, namentlich zwischen den Anbietern und im Bereich der Vergabe von Unteraufträgen im öffentlichen Beschaffungswesen, zu verhindern und zu bestrafen;</w:t>
            </w:r>
            <w:r>
              <w:rPr>
                <w:lang w:val="de-CH"/>
              </w:rPr>
              <w:br/>
              <w:t> - konkrete Antworten zur Unterstützung der Walliser Wirtschaft zu liefern;</w:t>
            </w:r>
            <w:r>
              <w:rPr>
                <w:lang w:val="de-CH"/>
              </w:rPr>
              <w:br/>
              <w:t> - den Arbeitsmarkt vor Lohn- und Sozialdumping zu schützen und die Unternehmen, die sich an die Arbeits- und Lohnbedingungen halten, zu unterstützen;</w:t>
            </w:r>
            <w:r>
              <w:rPr>
                <w:lang w:val="de-CH"/>
              </w:rPr>
              <w:br/>
            </w:r>
          </w:p>
          <w:p w:rsidR="00C70130" w:rsidRDefault="00C70130" w:rsidP="00430508">
            <w:pPr>
              <w:pStyle w:val="TableContents"/>
              <w:rPr>
                <w:lang w:val="de-CH"/>
              </w:rPr>
            </w:pPr>
            <w:r>
              <w:rPr>
                <w:lang w:val="de-CH"/>
              </w:rPr>
              <w:lastRenderedPageBreak/>
              <w:t>eingesehen die im Regierungsprogramm des Staatsrates geäusserte Absicht "Optimierung der Kontrolle des öffentlichen Beschaffungswesens und der Massnahmen zur Bekämpfung von Lohndumping und Schwarzarbeit sowie Beibehaltung der Vorbildfunktion des Staates als Auftraggeber";</w:t>
            </w:r>
          </w:p>
          <w:p w:rsidR="00C70130" w:rsidRPr="00C70130" w:rsidRDefault="00C70130" w:rsidP="00430508">
            <w:pPr>
              <w:pStyle w:val="TableContents"/>
              <w:rPr>
                <w:lang w:val="de-CH"/>
              </w:rPr>
            </w:pPr>
            <w:r>
              <w:rPr>
                <w:lang w:val="de-CH"/>
              </w:rPr>
              <w:t>eingesehen die vom Staatsrat in diesem Sinne angenommenen sieben Massnahmenkataloge (StRE vom 5. Juni 2013, 11. Juni 2014, 5. November 2014, 18. März 2015, 28. September 2016 und 20. Juni 2018);</w:t>
            </w:r>
            <w:r>
              <w:rPr>
                <w:lang w:val="de-CH"/>
              </w:rPr>
              <w:br/>
              <w:t>eingesehen die dringliche Motion 2.0237 vom 14. Mai 2018 "1,2 Milliarden Franken für Schwarzarbeit: Nutzung der neuen Mittel für eine bessere Bekämpfung";</w:t>
            </w:r>
            <w:r>
              <w:rPr>
                <w:lang w:val="de-CH"/>
              </w:rPr>
              <w:br/>
              <w:t>auf Empfehlung der kantonalen tripartiten Kommission;</w:t>
            </w:r>
            <w:r>
              <w:rPr>
                <w:lang w:val="de-CH"/>
              </w:rPr>
              <w:br/>
              <w:t>auf Antrag des Staatsrates,</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c>
          <w:tcPr>
            <w:tcW w:w="4951" w:type="dxa"/>
            <w:tcBorders>
              <w:left w:val="single" w:sz="4" w:space="0" w:color="000000"/>
            </w:tcBorders>
            <w:shd w:val="clear" w:color="auto" w:fill="F2F2F2" w:themeFill="background1" w:themeFillShade="F2"/>
          </w:tcPr>
          <w:p w:rsidR="00C70130" w:rsidRPr="00C70130" w:rsidRDefault="00C70130" w:rsidP="00430508">
            <w:pPr>
              <w:pStyle w:val="Aktion"/>
              <w:rPr>
                <w:lang w:val="de-CH"/>
              </w:rPr>
            </w:pPr>
          </w:p>
        </w:tc>
        <w:tc>
          <w:tcPr>
            <w:tcW w:w="4951" w:type="dxa"/>
            <w:tcBorders>
              <w:left w:val="single" w:sz="4" w:space="0" w:color="000000"/>
            </w:tcBorders>
            <w:shd w:val="clear" w:color="auto" w:fill="F2F2F2" w:themeFill="background1" w:themeFillShade="F2"/>
          </w:tcPr>
          <w:p w:rsidR="00C70130" w:rsidRDefault="00C70130" w:rsidP="00430508">
            <w:pPr>
              <w:pStyle w:val="Aktion"/>
            </w:pPr>
            <w:r>
              <w:t>verordnet:</w:t>
            </w:r>
          </w:p>
          <w:p w:rsidR="00C70130" w:rsidRDefault="00C70130" w:rsidP="00430508">
            <w:pPr>
              <w:pStyle w:val="Aktion"/>
            </w:pPr>
          </w:p>
          <w:p w:rsidR="00C70130" w:rsidRDefault="00C70130" w:rsidP="00430508">
            <w:pPr>
              <w:pStyle w:val="Aktion"/>
            </w:pPr>
          </w:p>
        </w:tc>
        <w:tc>
          <w:tcPr>
            <w:tcW w:w="4952" w:type="dxa"/>
            <w:tcBorders>
              <w:left w:val="single" w:sz="4" w:space="0" w:color="000000"/>
              <w:right w:val="single" w:sz="4" w:space="0" w:color="000000"/>
            </w:tcBorders>
            <w:shd w:val="clear" w:color="auto" w:fill="auto"/>
          </w:tcPr>
          <w:p w:rsidR="00C70130" w:rsidRDefault="00C70130" w:rsidP="00430508"/>
        </w:tc>
      </w:tr>
      <w:tr w:rsidR="00C70130" w:rsidTr="00853837">
        <w:tc>
          <w:tcPr>
            <w:tcW w:w="4951" w:type="dxa"/>
            <w:tcBorders>
              <w:top w:val="single" w:sz="4" w:space="0" w:color="000000"/>
              <w:left w:val="single" w:sz="4" w:space="0" w:color="000000"/>
            </w:tcBorders>
            <w:shd w:val="clear" w:color="auto" w:fill="F2F2F2" w:themeFill="background1" w:themeFillShade="F2"/>
          </w:tcPr>
          <w:p w:rsidR="00C70130" w:rsidRDefault="00C70130" w:rsidP="00430508"/>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Abschnittstitel"/>
            </w:pPr>
            <w:r>
              <w:t>I.</w:t>
            </w: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c>
          <w:tcPr>
            <w:tcW w:w="4951" w:type="dxa"/>
            <w:tcBorders>
              <w:top w:val="single" w:sz="4" w:space="0" w:color="000000"/>
              <w:left w:val="single" w:sz="4" w:space="0" w:color="000000"/>
            </w:tcBorders>
            <w:shd w:val="clear" w:color="auto" w:fill="F2F2F2" w:themeFill="background1" w:themeFillShade="F2"/>
          </w:tcPr>
          <w:p w:rsidR="00C70130" w:rsidRDefault="00C70130" w:rsidP="00430508"/>
        </w:tc>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Nebenzitat"/>
              <w:rPr>
                <w:lang w:val="de-CH"/>
              </w:rPr>
            </w:pPr>
            <w:r w:rsidRPr="00C70130">
              <w:rPr>
                <w:lang w:val="de-CH"/>
              </w:rPr>
              <w:t>Der Erlass Ausführungsgesetz zum Entsendegesetz und zum Bundesgesetz gegen die Schwarzarbeit (AGEntsGBGSA) vom 12.05.2016</w:t>
            </w:r>
            <w:r>
              <w:rPr>
                <w:rStyle w:val="Appelnotedebasdep"/>
              </w:rPr>
              <w:footnoteReference w:id="1"/>
            </w:r>
            <w:r w:rsidRPr="00C70130">
              <w:rPr>
                <w:rStyle w:val="Appelnotedebasdep"/>
                <w:lang w:val="de-CH"/>
              </w:rPr>
              <w:t>)</w:t>
            </w:r>
            <w:r w:rsidRPr="00C70130">
              <w:rPr>
                <w:lang w:val="de-CH"/>
              </w:rPr>
              <w:t xml:space="preserve"> (Stand 01.10.2016) wird wie folgt geändert:</w:t>
            </w:r>
          </w:p>
        </w:tc>
        <w:tc>
          <w:tcPr>
            <w:tcW w:w="4952" w:type="dxa"/>
            <w:tcBorders>
              <w:top w:val="single" w:sz="4" w:space="0" w:color="000000"/>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b/>
                <w:bCs/>
                <w:lang w:val="de-CH"/>
              </w:rPr>
              <w:t>Art.  4</w:t>
            </w:r>
            <w:r>
              <w:rPr>
                <w:lang w:val="de-CH"/>
              </w:rPr>
              <w:br/>
            </w:r>
            <w:r>
              <w:rPr>
                <w:sz w:val="14"/>
                <w:lang w:val="de-CH"/>
              </w:rPr>
              <w:t>Kantonales Kontroll- und Sanktionsorgan</w:t>
            </w: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top w:val="single" w:sz="4" w:space="0" w:color="000000"/>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Die Dienststelle ist das kantonale Kontroll- und Sanktionsorgan im Sinne des EntsG und des BGSA.</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lastRenderedPageBreak/>
              <w:t>2</w:t>
            </w:r>
            <w:r>
              <w:rPr>
                <w:lang w:val="de-CH"/>
              </w:rPr>
              <w:t> Sie erstattet dem Staatsrat und dem Bund periodisch Bericht über ihre Tätigkeit.</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pPr>
            <w:r>
              <w:rPr>
                <w:vertAlign w:val="superscript"/>
                <w:lang w:val="de-CH"/>
              </w:rPr>
              <w:t>3</w:t>
            </w:r>
            <w:r>
              <w:rPr>
                <w:lang w:val="de-CH"/>
              </w:rPr>
              <w:t> Sämtliche Kontrollen, für welche die Dienststelle zuständig ist, werden von der kantonalen Beschäftigungsinspektion (nachstehend: Beschäftigungsinspektion) ausgeführt. Diese:</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erstellt Kontroll- und Untersuchungsberichte und übermittelt diese den zuständigen Fachbehörden;</w:t>
            </w: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führt spontan oder gestützt auf erhaltene Informationen Kontrollen und Ermittlungen durch;</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übermittelt der Staatsanwaltschaft im Rahmen der Anwendung des BGSA die Unterlagen zu Straftaten, die von Amtes wegen verfolgt werden.</w:t>
            </w: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erstellt Kontroll- und Ermittlungsberichte und übermittelt diese den zuständigen Fachbehörden;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c) übermittelt der Staatsanwaltschaft im Rahmen der Anwendung des BGSA die Unterlagen zu Straftaten, die von Amtes wegen verfolgt werden.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4</w:t>
            </w:r>
            <w:r>
              <w:rPr>
                <w:lang w:val="de-CH"/>
              </w:rPr>
              <w:t> Das Gesetz über das Personal des Staates Wallis regelt den Status der Beschäftigungsinspektoren. Diese werden vom Staatsrat vereidigt, der diese Aufgabe an das Departement delegieren kann, dem die Dienststelle angegliedert ist (nachstehend: Departement).</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5</w:t>
            </w:r>
            <w:r>
              <w:rPr>
                <w:lang w:val="de-CH"/>
              </w:rPr>
              <w:t> In den Wirtschaftsbereichen mit einem allgemein verbindlichen Gesamtarbeitsvertrag stellt die Dienststelle die Meldungen der entsandten Arbeitnehmer den betreffenden paritätischen Berufskommissionen oder den von diesen bezeichneten Einheiten zu.</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6</w:t>
            </w:r>
            <w:r>
              <w:rPr>
                <w:lang w:val="de-CH"/>
              </w:rPr>
              <w:t> Der Staatsrat regelt die Anforderungen an die Beschäftigungsinspektoren, namentlich in Bezug auf die Ausbildungen und fachlichen Kompetenzen, über die sie verfügen müssen.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pPr>
            <w:r>
              <w:rPr>
                <w:b/>
                <w:bCs/>
                <w:lang w:val="de-CH"/>
              </w:rPr>
              <w:lastRenderedPageBreak/>
              <w:t>Art.  6</w:t>
            </w:r>
            <w:r>
              <w:rPr>
                <w:lang w:val="de-CH"/>
              </w:rPr>
              <w:br/>
            </w:r>
            <w:r>
              <w:rPr>
                <w:sz w:val="14"/>
                <w:lang w:val="de-CH"/>
              </w:rPr>
              <w:t>Paritätische Organe</w:t>
            </w: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Die paritätischen Berufskommissionen sind für die Erfüllung der ihnen ausdrücklich durch die Bundesgesetzgebung übertragenen Aufgaben zuständig.</w:t>
            </w: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Die paritätischen Berufskommissionen sind für die Erfüllung der ihnen ausdrücklich durch das EntsG und durch die erweiterten Bestimmungen der Gesamtarbeitsverträge übertragenen Aufgaben zuständig.</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Der Staatsrat oder durch Delegation das Departement regelt die Einzelheiten der Zusammenarbeit zwischen der Dienststelle und den paritätischen Berufskommissionen.</w:t>
            </w: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In diesen Bereichen sind sie dazu befugt, Informationen über Anfragen um Kontrollen zu speichern, namentlich auf elektronischen Datenträgern, und mit den üblichen Mitteln die Tätigkeit am Arbeitsort zu fotografieren, wobei die Grundsätze der Zweckbindung und der Verhältnismässigkeit einzuhalten sind.</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Default="00C70130" w:rsidP="00430508">
            <w:pPr>
              <w:pStyle w:val="TableContents"/>
            </w:pPr>
            <w:r>
              <w:rPr>
                <w:vertAlign w:val="superscript"/>
                <w:lang w:val="de-CH"/>
              </w:rPr>
              <w:t>3</w:t>
            </w:r>
            <w:r>
              <w:rPr>
                <w:lang w:val="de-CH"/>
              </w:rPr>
              <w:t> Diese Daten können auf einem elektronischen Datenträger während maximal fünf Jahren ab dem Tag der Kontrolle oder bis der Vollzug einer Sanktion abgeschlossen ist, aufbewahrt werden und werden danach vernichtet. Einzig die Kontrolleure der paritätischen Berufskommissionen und die für die Datenbearbeitung zuständigen Mitglieder dieser Kommissionen haben Zugriff darauf, unter Vorbehalt von Absatz 4. Sie sind an das Berufsgeheimnis gebunden.</w:t>
            </w:r>
          </w:p>
        </w:tc>
        <w:tc>
          <w:tcPr>
            <w:tcW w:w="4952" w:type="dxa"/>
            <w:tcBorders>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4</w:t>
            </w:r>
            <w:r>
              <w:rPr>
                <w:lang w:val="de-CH"/>
              </w:rPr>
              <w:t> Die paritätischen Berufskommissionen oder die von ihnen bezeichneten Einheiten müssen: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der Dienststelle und der Schweizerischen Unfallversicherungsanstalt unverzüglich die Informationen Dritter, die ausschliesslich in den Kompetenzbereich dieser Vollzugsorgane fallen, zustellen;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der Dienststelle unverzüglich einen ausführlichen Bericht über die durchgeführten Kontrollen, begleitet von sachdienlichen Unterlagen, zustellen, damit sie gegebenenfalls Administrativmassnahmen aussprechen und geeignete Sanktionen verhängen kann.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r>
              <w:rPr>
                <w:vertAlign w:val="superscript"/>
                <w:lang w:val="de-CH"/>
              </w:rPr>
              <w:t>5</w:t>
            </w:r>
            <w:r>
              <w:rPr>
                <w:lang w:val="de-CH"/>
              </w:rPr>
              <w:t> Der Staatsrat oder durch Delegation das Departement regelt die Einzelheiten der Zusammenarbeit zwischen der Dienststelle und den paritätischen Berufskommissionen und den von diesen bezeichneten Einheiten.</w:t>
            </w:r>
          </w:p>
          <w:p w:rsidR="00C70130" w:rsidRDefault="00C70130" w:rsidP="00430508">
            <w:pPr>
              <w:pStyle w:val="TableContents"/>
              <w:rPr>
                <w:lang w:val="de-CH"/>
              </w:rPr>
            </w:pPr>
          </w:p>
          <w:p w:rsidR="00C70130" w:rsidRDefault="00C70130" w:rsidP="00430508">
            <w:pPr>
              <w:pStyle w:val="TableContents"/>
              <w:rPr>
                <w:lang w:val="de-CH"/>
              </w:rPr>
            </w:pPr>
          </w:p>
          <w:p w:rsidR="00C70130" w:rsidRDefault="00C70130" w:rsidP="00430508">
            <w:pPr>
              <w:pStyle w:val="TableContents"/>
              <w:rPr>
                <w:lang w:val="de-CH"/>
              </w:rPr>
            </w:pPr>
          </w:p>
          <w:p w:rsidR="00C70130" w:rsidRDefault="00C70130" w:rsidP="00430508">
            <w:pPr>
              <w:pStyle w:val="TableContents"/>
              <w:rPr>
                <w:lang w:val="de-CH"/>
              </w:rPr>
            </w:pPr>
          </w:p>
          <w:p w:rsidR="00C70130" w:rsidRDefault="00C70130" w:rsidP="00430508">
            <w:pPr>
              <w:pStyle w:val="TableContents"/>
              <w:rPr>
                <w:lang w:val="de-CH"/>
              </w:rPr>
            </w:pPr>
          </w:p>
          <w:p w:rsidR="00C70130" w:rsidRP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pPr>
            <w:r>
              <w:rPr>
                <w:b/>
                <w:bCs/>
                <w:lang w:val="de-CH"/>
              </w:rPr>
              <w:t>Art.  6a</w:t>
            </w:r>
            <w:r>
              <w:rPr>
                <w:lang w:val="de-CH"/>
              </w:rPr>
              <w:br/>
            </w:r>
            <w:r>
              <w:rPr>
                <w:sz w:val="14"/>
                <w:lang w:val="de-CH"/>
              </w:rPr>
              <w:t>Datenschutz</w:t>
            </w: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Unabhängig des Bereichs, in dem sie intervenieren sollen, müssen alle in den Vollzug des vorliegenden Gesetzes involvierten Kontrollorgane jegliche Informationsquelle, die ihnen eine mutmassliche strafbare Handlung meldet, absolut vertraulich behandeln und dürfen den kontrollierten Personen die Herkunft dieser Meldung keinesfalls bekanntgeben.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Der Staatsrat regelt die Anforderungen bezüglich Übermittlung des gesammelten Materials an die Strafbehörden sowie dessen Aufbewahrung und Vernichtung.</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3</w:t>
            </w:r>
            <w:r>
              <w:rPr>
                <w:lang w:val="de-CH"/>
              </w:rPr>
              <w:t> Die paritätischen Organe unterstehen darüber hinaus den Bestimmungen des Bundesgesetzes über den Datenschutz und die Dienststelle untersteht den Bestimmungen des kantonalen Gesetzes über die Information der Öffentlichkeit, den Datenschutz und die Archivierung sowie den Artikeln 7 und 17 BGSA.</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pPr>
            <w:r>
              <w:rPr>
                <w:b/>
                <w:bCs/>
                <w:lang w:val="de-CH"/>
              </w:rPr>
              <w:t>Art.  13</w:t>
            </w:r>
            <w:r>
              <w:rPr>
                <w:lang w:val="de-CH"/>
              </w:rPr>
              <w:br/>
            </w:r>
            <w:r>
              <w:rPr>
                <w:sz w:val="14"/>
                <w:lang w:val="de-CH"/>
              </w:rPr>
              <w:t>Gegenstand der Kontrolle</w:t>
            </w: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Die Kontrolle im Bereich der Bekämpfung der Schwarzarbeit bezweckt namentlich die Aufdeckung und die Bestrafung folgender Verstösse:</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die Beschäftigung von Arbeitnehmern, die nicht bei den obligatorischen Sozialversicherungen angemeldet sind;</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die nicht deklarierte Ausführung von Arbeiten durch Arbeitnehmer, die Leistungen von der Arbeitslosenversicherung, einer anderen Sozialversicherung oder der Sozialhilfe erhalten;</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pPr>
            <w:r>
              <w:rPr>
                <w:lang w:val="de-CH"/>
              </w:rPr>
              <w:t>c) die Scheinselbstständigkeit;</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2" w:type="dxa"/>
            <w:tcBorders>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d) die Beschäftigung von ausländischen Arbeitnehmern, die gegen die Bestimmungen des Ausländerrechts verstossen;</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e) die Nichtdeklaration gegenüber den Steuerbehörden der den Arbeitnehmern, die der Quellensteuer unterstehen, ausbezahlten Löhne.</w:t>
            </w: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e) die Beschäftigung von Arbeitnehmern, die der Quellensteuer unterstehen, die nicht bei den Steuerbehörden angemeldet sind;</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f) die von einem oder mehreren Arbeitnehmern oder Selbstständigerwerbenden, die ihren Lohn oder ihr Einkommen den Steuerbehörden nicht oder nur teilweise deklarieren, ausgeführten Arbeiten.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b/>
                <w:bCs/>
                <w:lang w:val="de-CH"/>
              </w:rPr>
              <w:t>Art.  13a</w:t>
            </w:r>
            <w:r>
              <w:rPr>
                <w:lang w:val="de-CH"/>
              </w:rPr>
              <w:br/>
            </w:r>
            <w:r>
              <w:rPr>
                <w:sz w:val="14"/>
                <w:lang w:val="de-CH"/>
              </w:rPr>
              <w:t>Verlangen von Kontrollen</w:t>
            </w:r>
          </w:p>
        </w:tc>
        <w:tc>
          <w:tcPr>
            <w:tcW w:w="4952" w:type="dxa"/>
            <w:tcBorders>
              <w:top w:val="single" w:sz="4" w:space="0" w:color="000000"/>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Die Beschäftigungsinspektion ist befugt, Informationen von Dritten im Zusammenhang mit dem Verdacht auf Schwarzarbeit zu sammeln, namentlich über eine Pikett-Hotline oder elektronische Datenträger.</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Diese Informationen werden in einer Computerdatenbank abgespeichert, auf die ausschliesslich das für diese Aufgabe zuständige Personal und dessen Vorgesetzte Zugriff haben, wobei Absatz 4 vorbehalten bleibt.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3</w:t>
            </w:r>
            <w:r>
              <w:rPr>
                <w:lang w:val="de-CH"/>
              </w:rPr>
              <w:t> Der Entscheid, infolge einer Information eine Ermittlung einzuleiten, basiert auf den Grundsätzen der Zweckbindung und der Verhältnismässigkeit.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4</w:t>
            </w:r>
            <w:r>
              <w:rPr>
                <w:lang w:val="de-CH"/>
              </w:rPr>
              <w:t> Die Beschäftigungsinspektion ist befugt, mit den zuständigen Behörden und Institutionen die Informationen über mutmassliche Vergehen, die diese direkt betreffen, im Sinne der Bundesgesetzgebung und von Artikel 21 Absatz 5 des Gesetzes über das Personal des Staates Wallis auszutauschen.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b/>
                <w:bCs/>
                <w:lang w:val="de-CH"/>
              </w:rPr>
              <w:t>Art.  13b</w:t>
            </w:r>
            <w:r>
              <w:rPr>
                <w:lang w:val="de-CH"/>
              </w:rPr>
              <w:br/>
            </w:r>
            <w:r>
              <w:rPr>
                <w:sz w:val="14"/>
                <w:lang w:val="de-CH"/>
              </w:rPr>
              <w:t>Vorgehen bei Ermittlungen und Kontrollen</w:t>
            </w:r>
          </w:p>
        </w:tc>
        <w:tc>
          <w:tcPr>
            <w:tcW w:w="4952" w:type="dxa"/>
            <w:tcBorders>
              <w:top w:val="single" w:sz="4" w:space="0" w:color="000000"/>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Zusätzlich zu den Kompetenzen gemäss Artikel 7 BGSA sind die Beschäftigungsinspektoren dazu befugt: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Vorermittlungen anzustellen und Observationen durchzuführen, wenn Hinweise auf eine strafbare Handlung bestehen;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Straftatverdächtige oder Auskunftspersonen einzuvernehmen;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c) von den kontrollierten Personen oder Auskunftspersonen zu verlangen, dass sie die notwendigen Unterlagen zur Beweiserhebung übermitteln.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b/>
                <w:bCs/>
                <w:lang w:val="de-CH"/>
              </w:rPr>
              <w:t>Art.  13c</w:t>
            </w:r>
            <w:r>
              <w:rPr>
                <w:lang w:val="de-CH"/>
              </w:rPr>
              <w:br/>
            </w:r>
            <w:r>
              <w:rPr>
                <w:sz w:val="14"/>
                <w:lang w:val="de-CH"/>
              </w:rPr>
              <w:t>Vorermittlungen und Observationen</w:t>
            </w:r>
          </w:p>
        </w:tc>
        <w:tc>
          <w:tcPr>
            <w:tcW w:w="4952" w:type="dxa"/>
            <w:tcBorders>
              <w:top w:val="single" w:sz="4" w:space="0" w:color="000000"/>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Default="00C70130" w:rsidP="00430508">
            <w:pPr>
              <w:pStyle w:val="TableContents"/>
            </w:pPr>
            <w:r>
              <w:rPr>
                <w:vertAlign w:val="superscript"/>
                <w:lang w:val="de-CH"/>
              </w:rPr>
              <w:t>1</w:t>
            </w:r>
            <w:r>
              <w:rPr>
                <w:lang w:val="de-CH"/>
              </w:rPr>
              <w:t> Die Beschäftigungsinspektoren sind bei jedem Fall dazu befugt, gestützt auf einen Entscheid ihrer Vorgesetzten zur Einleitung einer Ermittlung entsprechende Vorermittlungen anzustellen und Personen oder Unternehmen, die zu unrechtmässigem Handeln im Sinne des BGSA und von Artikel 13 des vorliegenden Gesetzes verdächtigt werden, ohne ihr Wissen zu observieren. Dies unter folgenden kumulativen Bedingungen:</w:t>
            </w:r>
          </w:p>
        </w:tc>
        <w:tc>
          <w:tcPr>
            <w:tcW w:w="4952" w:type="dxa"/>
            <w:tcBorders>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die Beschäftigungsinspektion verfügt über konkrete Indizien, die vermuten lassen, dass die fragliche Person Schwarzarbeit nachgeht oder das fragliche Unternehmen Schwarzarbeiter beschäftigt;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die Observation ist für die Beschaffung von Beweisen, mit denen die zuständige Behörde oder Institution ein Verfahren gegen die betroffene Person einleiten kann, unverzichtbar.</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Bei der Observation können nur Daten über die verdächtigte Person oder das verdächtigte Unternehmen beschafft und/oder entsprechende Bildaufzeichnungen gemacht werden, wenn folgende kumulative Voraussetzungen erfüllt sind:</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sie beziehen sich ausschliesslich auf eine Situation oder mehrere Situationen gemäss Artikel 13 des vorliegenden Gesetzes;</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die verdächtigte Person oder das verdächtigte Unternehmen befindet sich an einem frei zugänglichen Ort oder in einer Einrichtung, oder auch an einem Ort, der von einem frei zugänglichen Ort aus einsehbar ist.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3</w:t>
            </w:r>
            <w:r>
              <w:rPr>
                <w:lang w:val="de-CH"/>
              </w:rPr>
              <w:t> Die Beschäftigungsinspektoren dürfen das Verhalten der Personen, über die sie Ermittlungen anstellen, nicht beeinflussen.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4</w:t>
            </w:r>
            <w:r>
              <w:rPr>
                <w:lang w:val="de-CH"/>
              </w:rPr>
              <w:t> Eine Observation kann an höchstens 20 Tagen innerhalb von drei aufeinanderfolgenden Monaten ab dem ersten Observationstag stattfinden, unter Berücksichtigung der Grundsätze der Zweckbindung und der Verhältnismässigkeit. Dieser Zeitraum kann ausnahmsweise auf Entscheid des Vorstehers des Departements, dem die Dienststelle angegliedert ist, um die gleiche Dauer verlängert werden, wenn hinreichende Gründe dafür bestehen.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5</w:t>
            </w:r>
            <w:r>
              <w:rPr>
                <w:lang w:val="de-CH"/>
              </w:rPr>
              <w:t> Spätestens beim Abschluss der Ermittlung teilt die Beschäftigungsinspektion der Person, die observiert wurde, die Gründe für die Observation, ihre Art und Dauer mit.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6</w:t>
            </w:r>
            <w:r>
              <w:rPr>
                <w:lang w:val="de-CH"/>
              </w:rPr>
              <w:t> Diese Mitteilung wird verschoben oder es wird darauf verzichtet, wenn eine der folgenden Bedingungen erfüllt ist: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überwiegende öffentliche oder private Interessen müssen unbedingt geschützt werden;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die beschafften Informationen werden nicht als Beweise verwendet. In dieser zweiten Hypothese werden die beschafften Daten sofort vernichtet.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pPr>
            <w:r>
              <w:rPr>
                <w:b/>
                <w:bCs/>
                <w:lang w:val="de-CH"/>
              </w:rPr>
              <w:t>Art.  13d</w:t>
            </w:r>
            <w:r>
              <w:rPr>
                <w:lang w:val="de-CH"/>
              </w:rPr>
              <w:br/>
            </w:r>
            <w:r>
              <w:rPr>
                <w:sz w:val="14"/>
                <w:lang w:val="de-CH"/>
              </w:rPr>
              <w:t>Einvernahmen</w:t>
            </w: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Infolge einer Kontrolle am Arbeitsplatz und/oder einer Vorermittlung können die Beschäftigungsinspektoren die betroffene Person oder die betroffenen Personen sowie Auskunftspersonen zu einer Einvernahme einberufen, wenn sich anhand der zusammengetragenen Elemente mutmassliche strafbare Handlungen nachweisen lassen.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Bei der Einvernahme wird die zur Schwarzarbeit verdächtigte Person oder der Arbeitgeber eines Schwarzarbeiters oder mehrerer Schwarzarbeiter über den Grund und den Straftatverdacht informiert..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3</w:t>
            </w:r>
            <w:r>
              <w:rPr>
                <w:lang w:val="de-CH"/>
              </w:rPr>
              <w:t> Nach ihrer Einvernahme unterzeichnet die vernommene Person das Einvernahmeprotokoll und erhält eine Kopie davon.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4</w:t>
            </w:r>
            <w:r>
              <w:rPr>
                <w:lang w:val="de-CH"/>
              </w:rPr>
              <w:t> Die zu einer Einvernahme einberufene Person, die ohne triftigen Grund nicht zur Einvernahme erscheint, kann Gegenstand einer Sanktion wegen Verletzung der Mitwirkungspflicht im Sinne von Artikel 18 BGSA bilden.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pPr>
            <w:r>
              <w:rPr>
                <w:b/>
                <w:bCs/>
                <w:lang w:val="de-CH"/>
              </w:rPr>
              <w:t>Art.  15</w:t>
            </w:r>
            <w:r>
              <w:rPr>
                <w:lang w:val="de-CH"/>
              </w:rPr>
              <w:br/>
            </w:r>
            <w:r>
              <w:rPr>
                <w:sz w:val="14"/>
                <w:lang w:val="de-CH"/>
              </w:rPr>
              <w:t>Bussen und Ausschluss</w:t>
            </w: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Die Dienststelle, als kantonales Kontrollorgan:</w:t>
            </w: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Die Dienststelle, als kantonales Kontroll- und Sanktionsorgan: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spricht die Sanktionen aus, die im EntsG und im BGSA vorgesehen sind;</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kann bei schwerwiegenden Verstössen oder bei Nichtbezahlung rechtskräftiger Bussen infolge von Verstössen gegen das EntsG dem betreffenden ausländischen Arbeitgeber verbieten, während einer bestimmten Zeit in der Schweiz seine Dienste anzubieten;</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lastRenderedPageBreak/>
              <w:t>c) auferlegt dem fehlbaren Arbeitgeber beziehungsweise Selbstständigerwerbenden die Kontrollkosten.</w:t>
            </w: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c) auferlegt dem fehlbaren Arbeitgeber beziehungsweise Selbstständigerwerbenden die Kon-trollkosten.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gemäss EntsG oder selbstständiger Arbeitnehmer gemäss der eidgenössischen Verordnung über die Einführung des freien Personenverkehrs kassiert die Beschäftigungsinspektion eine Kaution ein, die zur Deckung des mutmasslichen Bussenbetrags und der Kontrollkosten bestimmt ist.</w:t>
            </w: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Im Fall offensichtlicher Verletzung der Bestimmungen über die Meldung entsandter Arbeitnehmer gemäss EntsG oder selbstständiger Arbeitnehmer gemäss der eidgenössischen Verordnung über die Einführung des freien Personenverkehrs kassiert die Beschäftigungsinspektion eine Kaution ein, die zur Deckung des mutmasslichen Bussenbetrags und der Kontrollkosten bestimmt ist.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pPr>
            <w:r>
              <w:rPr>
                <w:vertAlign w:val="superscript"/>
                <w:lang w:val="de-CH"/>
              </w:rPr>
              <w:t>3</w:t>
            </w:r>
            <w:r>
              <w:rPr>
                <w:lang w:val="de-CH"/>
              </w:rPr>
              <w:t> Im Übrigen gelten unter Vorbehalt der Bundesbestimmungen die Bestimmungen des 7. Kapitels des kantonalen Arbeitsgesetzes.</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4</w:t>
            </w:r>
            <w:r>
              <w:rPr>
                <w:lang w:val="de-CH"/>
              </w:rPr>
              <w:t> Bei Nichtbezahlung einer auf das BGSA gestützten Busse kann die Dienststelle von der zuständigen Behörde die Umwandlung in eine Ersatzfreiheitsstrafe beantragen.</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pPr>
            <w:r>
              <w:rPr>
                <w:b/>
                <w:bCs/>
                <w:lang w:val="de-CH"/>
              </w:rPr>
              <w:t>Art.  15a</w:t>
            </w:r>
            <w:r>
              <w:rPr>
                <w:lang w:val="de-CH"/>
              </w:rPr>
              <w:br/>
            </w:r>
            <w:r>
              <w:rPr>
                <w:sz w:val="14"/>
                <w:lang w:val="de-CH"/>
              </w:rPr>
              <w:t>Arbeitsunterbruch</w:t>
            </w: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Im Falle einer Kontrolle in Anwendung der Bundesgesetzgebung über die Schwarzarbeit kann die Dienststelle den sofortigen Arbeitsunterbruch dieser Person oder dieses Unternehmens am betreffenden Arbeitsplatz anordnen, wenn sich die Person oder das Unternehmen der Kontrolle widersetzt oder sich weigert, an der Ermittlung des Sachverhalts mitzuwirken.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Bei Kontrollen im Rahmen eines öffentlichen Auftrags informiert die Dienststelle unverzüglich den Auftraggeber, damit dieser den sofortigen Arbeitsunterbruch eines Unternehmens am betreffenden Arbeitsort anordnet, insbesondere wenn: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a) das Unternehmen einen ausländischen Arbeitnehmer oder mehrere ausländische Arbeitnehmer ohne Arbeitsbewilligung in der Schweiz beschäftigt oder sich weigert, die Identität von Arbeitnehmern, die bei der Kontrolle geflüchtet sind, bekannt zu geben;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b) die Beschäftigungsinspektion nicht feststellen kann, dass das Unternehmen oder der Selbstständigerwerbende den obligatorischen oder überobligatorischen Sozialversicherungen im Sinne der erweiterten Bestimmungen der Gesamtarbeitsverträge angeschlossen ist;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c) feststeht, dass das Unternehmen die Sozialversicherungsbeiträge und die Quellensteuer auf den Löhnen seiner Angestellten erhebt, sie aber nicht an die betroffenen Institutionen entrichtet;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ind w:left="149" w:right="3" w:hanging="189"/>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ind w:left="149" w:right="3" w:hanging="189"/>
              <w:rPr>
                <w:lang w:val="de-CH"/>
              </w:rPr>
            </w:pPr>
            <w:r>
              <w:rPr>
                <w:lang w:val="de-CH"/>
              </w:rPr>
              <w:t>d) das Unternehmen oder der Selbstständigerwerbende nicht als Subunternehmer gemeldet ist oder als Subunternehmer eines Subunternehmers arbeitet.</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3</w:t>
            </w:r>
            <w:r>
              <w:rPr>
                <w:lang w:val="de-CH"/>
              </w:rPr>
              <w:t> Ist die Dienststelle der Ansicht, dass die in Absatz 1 oder 2 vorgesehenen Bedingungen erfüllt sind, erlässt sie (Abs. 1) beziehungsweise der Auftraggeber (Abs. 2) unverzüglich eine Verfügung zum Arbeitsunterbruch des Unternehmens oder des Selbstständigerwerbenden am betreffenden Arbeitsort. In ihrer Verfügung setzt sie oder er das Unternehmen oder den Selbstständigerwerbenden darüber in Kenntnis, dass das Zwangsmittel aufgehoben werden kann, sobald sie oder er feststellen konnte, dass die Gründe, die zum Arbeitsunterbruch geführt haben, beseitigt sind. Die Aufhebung des Arbeitsunterbruchs ist ebenfalls Gegenstand einer Verfügung der Dienststelle beziehungsweise des Auftraggebers.</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4</w:t>
            </w:r>
            <w:r>
              <w:rPr>
                <w:lang w:val="de-CH"/>
              </w:rPr>
              <w:t> Im Rahmen eines öffentlichen Auftrags eröffnet die Dienststelle beziehungsweise der Auftraggeber ihre beziehungsweise seine Verfügungen dem Bauherrn.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5</w:t>
            </w:r>
            <w:r>
              <w:rPr>
                <w:lang w:val="de-CH"/>
              </w:rPr>
              <w:t> Die zuständigen Behörden, namentlich die Kantonspolizei und die Gemeindepolizeien, können für die Anwendung der administrativen Zwangsmassnahmen zur Mitarbeit hinzugezogen werden.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6</w:t>
            </w:r>
            <w:r>
              <w:rPr>
                <w:lang w:val="de-CH"/>
              </w:rPr>
              <w:t> Gegen die Verfügung zum Arbeitsunterbruch kann innert einer Frist von 10 Tagen beim Kantonsgericht Beschwerde eingereicht werden. Diese hat keine aufschiebende Wirkung. Die Sanktionen und Administrativmassnahmen können kumuliert werden.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7</w:t>
            </w:r>
            <w:r>
              <w:rPr>
                <w:lang w:val="de-CH"/>
              </w:rPr>
              <w:t> Wird die Verfügung der Dienststelle beziehungsweise des Auftraggebers missachtet, kann gegen den betreffenden Unternehmensleiter oder Selbstständigerwerbenden Strafanzeige erstattet werden.</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8</w:t>
            </w:r>
            <w:r>
              <w:rPr>
                <w:lang w:val="de-CH"/>
              </w:rPr>
              <w:t> Der Staatsrat regelt auf dem Verordnungsweg die Modalitäten zur Umsetzung der vorliegenden Bestimmung.</w:t>
            </w: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rPr>
                <w:lang w:val="de-CH"/>
              </w:rPr>
            </w:pP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Abschnittstitel"/>
            </w:pPr>
            <w:r>
              <w:t>II.</w:t>
            </w: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c>
          <w:tcPr>
            <w:tcW w:w="4951" w:type="dxa"/>
            <w:tcBorders>
              <w:top w:val="single" w:sz="4" w:space="0" w:color="000000"/>
              <w:left w:val="single" w:sz="4" w:space="0" w:color="000000"/>
            </w:tcBorders>
            <w:shd w:val="clear" w:color="auto" w:fill="F2F2F2" w:themeFill="background1" w:themeFillShade="F2"/>
          </w:tcPr>
          <w:p w:rsidR="00C70130" w:rsidRDefault="00C70130" w:rsidP="00430508"/>
        </w:tc>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Nebenzitat"/>
              <w:rPr>
                <w:lang w:val="de-CH"/>
              </w:rPr>
            </w:pPr>
            <w:r w:rsidRPr="00C70130">
              <w:rPr>
                <w:lang w:val="de-CH"/>
              </w:rPr>
              <w:t>Der Erlass Kantonales Arbeitsgesetz (kArG) vom 12.05.2016</w:t>
            </w:r>
            <w:r>
              <w:rPr>
                <w:rStyle w:val="Appelnotedebasdep"/>
              </w:rPr>
              <w:footnoteReference w:id="2"/>
            </w:r>
            <w:r w:rsidRPr="00C70130">
              <w:rPr>
                <w:rStyle w:val="Appelnotedebasdep"/>
                <w:lang w:val="de-CH"/>
              </w:rPr>
              <w:t>)</w:t>
            </w:r>
            <w:r w:rsidRPr="00C70130">
              <w:rPr>
                <w:lang w:val="de-CH"/>
              </w:rPr>
              <w:t xml:space="preserve"> (Stand 01.10.2016) wird wie folgt geändert:</w:t>
            </w:r>
          </w:p>
        </w:tc>
        <w:tc>
          <w:tcPr>
            <w:tcW w:w="4952" w:type="dxa"/>
            <w:tcBorders>
              <w:top w:val="single" w:sz="4" w:space="0" w:color="000000"/>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pPr>
            <w:r>
              <w:rPr>
                <w:b/>
                <w:bCs/>
                <w:lang w:val="de-CH"/>
              </w:rPr>
              <w:t>Art.  27</w:t>
            </w:r>
            <w:r>
              <w:rPr>
                <w:lang w:val="de-CH"/>
              </w:rPr>
              <w:br/>
            </w:r>
            <w:r>
              <w:rPr>
                <w:sz w:val="14"/>
                <w:lang w:val="de-CH"/>
              </w:rPr>
              <w:t>Verweis</w:t>
            </w: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1</w:t>
            </w:r>
            <w:r>
              <w:rPr>
                <w:lang w:val="de-CH"/>
              </w:rPr>
              <w:t> Die Zuständigkeiten der kantonalen Beschäftigungsinspektion sind Gegenstand eines separaten Erlasses.</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2</w:t>
            </w:r>
            <w:r>
              <w:rPr>
                <w:lang w:val="de-CH"/>
              </w:rPr>
              <w:t> Die Führung ständiger Listen im Rahmen des öffentlichen Beschaffungswesens von vorqualifizierten Unternehmen und Leistungserbringern wird in einer Verordnung geregelt.</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RPr="00757C2A" w:rsidTr="00853837">
        <w:trPr>
          <w:cantSplit/>
        </w:trPr>
        <w:tc>
          <w:tcPr>
            <w:tcW w:w="4951" w:type="dxa"/>
            <w:tcBorders>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vertAlign w:val="superscript"/>
                <w:lang w:val="de-CH"/>
              </w:rPr>
              <w:t>3</w:t>
            </w:r>
            <w:r>
              <w:rPr>
                <w:lang w:val="de-CH"/>
              </w:rPr>
              <w:t> Die für die Vorqualifikation der beruflichen Fähigkeiten und die Kontrolle der Einhaltung der sozialen und wirtschaftlichen Bedingungen durch die Auftragnehmer notwendigen Auskünfte, die bei den Kontrollen der kantonalen Beschäftigungsinspektion und der kantonalen Arbeitsinspektion sowie anderer Sozialinstitutionen eingeholt werden, werden in den ständigen Listen eingetragen. Die Bestimmungen des Gesetzes über die Information der Öffentlichkeit, den Datenschutz und die Archivierung (GIDA) müssen beachtet werden.</w:t>
            </w:r>
          </w:p>
        </w:tc>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2" w:type="dxa"/>
            <w:tcBorders>
              <w:left w:val="single" w:sz="4" w:space="0" w:color="000000"/>
              <w:right w:val="single" w:sz="4" w:space="0" w:color="000000"/>
            </w:tcBorders>
            <w:shd w:val="clear" w:color="auto" w:fill="auto"/>
          </w:tcPr>
          <w:p w:rsidR="00C70130" w:rsidRPr="00C70130" w:rsidRDefault="00C70130" w:rsidP="00430508">
            <w:pPr>
              <w:rPr>
                <w:lang w:val="de-CH"/>
              </w:rPr>
            </w:pPr>
          </w:p>
        </w:tc>
      </w:tr>
      <w:tr w:rsidR="00C70130" w:rsidTr="00853837">
        <w:trPr>
          <w:cantSplit/>
        </w:trPr>
        <w:tc>
          <w:tcPr>
            <w:tcW w:w="4951" w:type="dxa"/>
            <w:tcBorders>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tcBorders>
            <w:shd w:val="clear" w:color="auto" w:fill="F2F2F2" w:themeFill="background1" w:themeFillShade="F2"/>
          </w:tcPr>
          <w:p w:rsidR="00C70130" w:rsidRDefault="00C70130" w:rsidP="00430508">
            <w:pPr>
              <w:pStyle w:val="TableContents"/>
            </w:pPr>
            <w:r>
              <w:rPr>
                <w:vertAlign w:val="superscript"/>
                <w:lang w:val="de-CH"/>
              </w:rPr>
              <w:t>4</w:t>
            </w:r>
            <w:r>
              <w:rPr>
                <w:lang w:val="de-CH"/>
              </w:rPr>
              <w:t> Ebenso übermitteln die aufgrund des Sitzes des Unternehmens oder des Wohnorts der Person zuständigen Betreibungs- und Konkursämter, die für die Erhebung der öffentlichen Abgaben zuständigen Behörden, die im Falle eines allgemein verbindlichen Gesamtarbeitsvertrags von der Wirtschaftsbranche betroffenen paritätischen Berufskommissionen und die obligatorischen oder überobligatorischen Sozialversicherungen, darunter die Schweizerische Unfallversicherungsanstalt und die Ausgleichskassen, der Dienststelle die nötigen Informationen für die Kontrolle der Unternehmen, die auf den ständigen Listen aufgeführt sind oder aufgeführt werden möchten. Hierzu werden keinerlei Kosten oder Gebühren fakturiert.</w:t>
            </w:r>
          </w:p>
        </w:tc>
        <w:tc>
          <w:tcPr>
            <w:tcW w:w="4952" w:type="dxa"/>
            <w:tcBorders>
              <w:left w:val="single" w:sz="4" w:space="0" w:color="000000"/>
              <w:right w:val="single" w:sz="4" w:space="0" w:color="000000"/>
            </w:tcBorders>
            <w:shd w:val="clear" w:color="auto" w:fill="auto"/>
          </w:tcPr>
          <w:p w:rsidR="00C70130" w:rsidRDefault="00C70130" w:rsidP="00430508"/>
        </w:tc>
      </w:tr>
      <w:tr w:rsidR="00C70130" w:rsidTr="00853837">
        <w:tc>
          <w:tcPr>
            <w:tcW w:w="4951" w:type="dxa"/>
            <w:tcBorders>
              <w:top w:val="single" w:sz="4" w:space="0" w:color="000000"/>
              <w:left w:val="single" w:sz="4" w:space="0" w:color="000000"/>
            </w:tcBorders>
            <w:shd w:val="clear" w:color="auto" w:fill="F2F2F2" w:themeFill="background1" w:themeFillShade="F2"/>
          </w:tcPr>
          <w:p w:rsidR="00C70130" w:rsidRDefault="00C70130" w:rsidP="00430508"/>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Abschnittstitel"/>
            </w:pPr>
            <w:r>
              <w:t>III.</w:t>
            </w: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Tr="00853837">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EmptySectionRemark"/>
            </w:pPr>
            <w:r>
              <w:t>     </w:t>
            </w: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EmptySectionRemark"/>
            </w:pPr>
            <w:r>
              <w:t>Keine Fremdaufhebungen.</w:t>
            </w: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pPr>
              <w:pStyle w:val="EmptySectionRemark"/>
            </w:pPr>
            <w:r>
              <w:t>     </w:t>
            </w:r>
          </w:p>
        </w:tc>
      </w:tr>
      <w:tr w:rsidR="00C70130" w:rsidTr="00853837">
        <w:tc>
          <w:tcPr>
            <w:tcW w:w="4951" w:type="dxa"/>
            <w:tcBorders>
              <w:top w:val="single" w:sz="4" w:space="0" w:color="000000"/>
              <w:left w:val="single" w:sz="4" w:space="0" w:color="000000"/>
            </w:tcBorders>
            <w:shd w:val="clear" w:color="auto" w:fill="F2F2F2" w:themeFill="background1" w:themeFillShade="F2"/>
          </w:tcPr>
          <w:p w:rsidR="00C70130" w:rsidRDefault="00C70130" w:rsidP="00430508"/>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Abschnittstitel"/>
            </w:pPr>
            <w:r>
              <w:t>IV.</w:t>
            </w: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RPr="00757C2A" w:rsidTr="00853837">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pPr>
            <w:r>
              <w:rPr>
                <w:lang w:val="de-CH"/>
              </w:rPr>
              <w:t>     </w:t>
            </w:r>
          </w:p>
        </w:tc>
        <w:tc>
          <w:tcPr>
            <w:tcW w:w="4951" w:type="dxa"/>
            <w:tcBorders>
              <w:top w:val="single" w:sz="4" w:space="0" w:color="000000"/>
              <w:left w:val="single" w:sz="4" w:space="0" w:color="000000"/>
            </w:tcBorders>
            <w:shd w:val="clear" w:color="auto" w:fill="F2F2F2" w:themeFill="background1" w:themeFillShade="F2"/>
          </w:tcPr>
          <w:p w:rsidR="00C70130" w:rsidRPr="00C70130" w:rsidRDefault="00C70130" w:rsidP="00430508">
            <w:pPr>
              <w:pStyle w:val="TableContents"/>
              <w:rPr>
                <w:lang w:val="de-CH"/>
              </w:rPr>
            </w:pPr>
            <w:r>
              <w:rPr>
                <w:lang w:val="de-CH"/>
              </w:rPr>
              <w:t>Die im vorliegenden Gesetz enthaltenen Ausführungsbestimmungen der eidgenössischen Gesetzgebung unterstehen nicht dem fakultativen Referendum.</w:t>
            </w:r>
            <w:r>
              <w:rPr>
                <w:lang w:val="de-CH"/>
              </w:rPr>
              <w:br/>
              <w:t>Die Artikel 13 bis 13d, 15 und 15a des vorliegenden Gesetzes unterstehen dem fakultativen Referendum. [Frist für die Hinterlegung der 3'000 Unterschriften für das Referendum: …]</w:t>
            </w:r>
          </w:p>
        </w:tc>
        <w:tc>
          <w:tcPr>
            <w:tcW w:w="4952" w:type="dxa"/>
            <w:tcBorders>
              <w:top w:val="single" w:sz="4" w:space="0" w:color="000000"/>
              <w:left w:val="single" w:sz="4" w:space="0" w:color="000000"/>
              <w:right w:val="single" w:sz="4" w:space="0" w:color="000000"/>
            </w:tcBorders>
            <w:shd w:val="clear" w:color="auto" w:fill="auto"/>
          </w:tcPr>
          <w:p w:rsidR="00C70130" w:rsidRPr="00C70130" w:rsidRDefault="00C70130" w:rsidP="00430508">
            <w:pPr>
              <w:pStyle w:val="TableContents"/>
              <w:rPr>
                <w:lang w:val="de-CH"/>
              </w:rPr>
            </w:pPr>
            <w:r>
              <w:rPr>
                <w:lang w:val="de-CH"/>
              </w:rPr>
              <w:t>     </w:t>
            </w:r>
          </w:p>
        </w:tc>
      </w:tr>
      <w:tr w:rsidR="00C70130" w:rsidTr="00853837">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top w:val="single" w:sz="4" w:space="0" w:color="000000"/>
              <w:left w:val="single" w:sz="4" w:space="0" w:color="000000"/>
            </w:tcBorders>
            <w:shd w:val="clear" w:color="auto" w:fill="F2F2F2" w:themeFill="background1" w:themeFillShade="F2"/>
          </w:tcPr>
          <w:p w:rsidR="00C70130" w:rsidRDefault="00C70130" w:rsidP="00430508">
            <w:pPr>
              <w:pStyle w:val="TableContents"/>
            </w:pPr>
            <w:r>
              <w:rPr>
                <w:lang w:val="de-CH"/>
              </w:rPr>
              <w:t>Sitten, den</w:t>
            </w:r>
          </w:p>
        </w:tc>
        <w:tc>
          <w:tcPr>
            <w:tcW w:w="4952" w:type="dxa"/>
            <w:tcBorders>
              <w:top w:val="single" w:sz="4" w:space="0" w:color="000000"/>
              <w:left w:val="single" w:sz="4" w:space="0" w:color="000000"/>
              <w:right w:val="single" w:sz="4" w:space="0" w:color="000000"/>
            </w:tcBorders>
            <w:shd w:val="clear" w:color="auto" w:fill="auto"/>
          </w:tcPr>
          <w:p w:rsidR="00C70130" w:rsidRDefault="00C70130" w:rsidP="00430508"/>
        </w:tc>
      </w:tr>
      <w:tr w:rsidR="00C70130" w:rsidTr="00853837">
        <w:tc>
          <w:tcPr>
            <w:tcW w:w="4951" w:type="dxa"/>
            <w:tcBorders>
              <w:left w:val="single" w:sz="4" w:space="0" w:color="000000"/>
              <w:bottom w:val="single" w:sz="4" w:space="0" w:color="000000"/>
            </w:tcBorders>
            <w:shd w:val="clear" w:color="auto" w:fill="F2F2F2" w:themeFill="background1" w:themeFillShade="F2"/>
          </w:tcPr>
          <w:p w:rsidR="00C70130" w:rsidRDefault="00C70130" w:rsidP="00430508">
            <w:pPr>
              <w:pStyle w:val="TableContents"/>
              <w:rPr>
                <w:lang w:val="de-CH"/>
              </w:rPr>
            </w:pPr>
          </w:p>
        </w:tc>
        <w:tc>
          <w:tcPr>
            <w:tcW w:w="4951" w:type="dxa"/>
            <w:tcBorders>
              <w:left w:val="single" w:sz="4" w:space="0" w:color="000000"/>
              <w:bottom w:val="single" w:sz="4" w:space="0" w:color="000000"/>
            </w:tcBorders>
            <w:shd w:val="clear" w:color="auto" w:fill="F2F2F2" w:themeFill="background1" w:themeFillShade="F2"/>
          </w:tcPr>
          <w:p w:rsidR="00C70130" w:rsidRDefault="00C70130" w:rsidP="00430508">
            <w:pPr>
              <w:pStyle w:val="TableContents"/>
            </w:pPr>
            <w:r>
              <w:rPr>
                <w:lang w:val="de-CH"/>
              </w:rPr>
              <w:t>Die Präsidentin des Grossen Rates: Anne-Marie Sauthier-Luyet</w:t>
            </w:r>
            <w:r>
              <w:rPr>
                <w:lang w:val="de-CH"/>
              </w:rPr>
              <w:br/>
              <w:t>Der Chef des Parlamentsdienstes: Claude Bumann</w:t>
            </w:r>
          </w:p>
        </w:tc>
        <w:tc>
          <w:tcPr>
            <w:tcW w:w="4952" w:type="dxa"/>
            <w:tcBorders>
              <w:left w:val="single" w:sz="4" w:space="0" w:color="000000"/>
              <w:bottom w:val="single" w:sz="4" w:space="0" w:color="000000"/>
              <w:right w:val="single" w:sz="4" w:space="0" w:color="000000"/>
            </w:tcBorders>
            <w:shd w:val="clear" w:color="auto" w:fill="auto"/>
          </w:tcPr>
          <w:p w:rsidR="00C70130" w:rsidRDefault="00C70130" w:rsidP="00430508"/>
        </w:tc>
      </w:tr>
    </w:tbl>
    <w:p w:rsidR="006B0455" w:rsidRDefault="006B0455">
      <w:pPr>
        <w:keepLines w:val="0"/>
        <w:widowControl/>
        <w:tabs>
          <w:tab w:val="clear" w:pos="14854"/>
        </w:tabs>
        <w:rPr>
          <w:b/>
          <w:bCs/>
          <w:sz w:val="22"/>
        </w:rPr>
      </w:pPr>
      <w:r>
        <w:rPr>
          <w:b/>
          <w:bCs/>
          <w:sz w:val="22"/>
        </w:rPr>
        <w:br w:type="page"/>
      </w:r>
    </w:p>
    <w:p w:rsidR="00851A31" w:rsidRPr="00853837" w:rsidRDefault="005868C1" w:rsidP="00853837">
      <w:pPr>
        <w:pStyle w:val="Paragraphedeliste"/>
        <w:numPr>
          <w:ilvl w:val="0"/>
          <w:numId w:val="3"/>
        </w:numPr>
        <w:rPr>
          <w:b/>
          <w:lang w:val="de-CH"/>
        </w:rPr>
      </w:pPr>
      <w:r>
        <w:rPr>
          <w:b/>
          <w:bCs/>
          <w:sz w:val="22"/>
          <w:lang w:val="de-CH"/>
        </w:rPr>
        <w:lastRenderedPageBreak/>
        <w:t>Allgemeine</w:t>
      </w:r>
      <w:r w:rsidR="00853837" w:rsidRPr="00853837">
        <w:rPr>
          <w:b/>
          <w:bCs/>
          <w:sz w:val="22"/>
          <w:lang w:val="de-CH"/>
        </w:rPr>
        <w:t xml:space="preserve"> Bemerkungen</w:t>
      </w:r>
      <w:r>
        <w:rPr>
          <w:b/>
          <w:bCs/>
          <w:sz w:val="22"/>
          <w:lang w:val="de-CH"/>
        </w:rPr>
        <w:t xml:space="preserve"> und Kommentare</w:t>
      </w:r>
    </w:p>
    <w:p w:rsidR="00851A31" w:rsidRDefault="00853837">
      <w:r w:rsidRPr="006B0455">
        <w:rPr>
          <w:b/>
          <w:bCs/>
          <w:noProof/>
          <w:sz w:val="22"/>
        </w:rPr>
        <mc:AlternateContent>
          <mc:Choice Requires="wps">
            <w:drawing>
              <wp:anchor distT="45720" distB="45720" distL="114300" distR="114300" simplePos="0" relativeHeight="251665408" behindDoc="0" locked="0" layoutInCell="1" allowOverlap="1" wp14:anchorId="0D0E1F66" wp14:editId="71D73689">
                <wp:simplePos x="0" y="0"/>
                <wp:positionH relativeFrom="margin">
                  <wp:posOffset>0</wp:posOffset>
                </wp:positionH>
                <wp:positionV relativeFrom="paragraph">
                  <wp:posOffset>187960</wp:posOffset>
                </wp:positionV>
                <wp:extent cx="9410700" cy="3705225"/>
                <wp:effectExtent l="0" t="0" r="19050" b="2857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0" cy="3705225"/>
                        </a:xfrm>
                        <a:prstGeom prst="rect">
                          <a:avLst/>
                        </a:prstGeom>
                        <a:solidFill>
                          <a:srgbClr val="FFFFFF"/>
                        </a:solidFill>
                        <a:ln w="9525">
                          <a:solidFill>
                            <a:srgbClr val="000000"/>
                          </a:solidFill>
                          <a:miter lim="800000"/>
                          <a:headEnd/>
                          <a:tailEnd/>
                        </a:ln>
                      </wps:spPr>
                      <wps:txbx>
                        <w:txbxContent>
                          <w:p w:rsidR="00853837" w:rsidRDefault="00853837" w:rsidP="008538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0E1F66" id="_x0000_t202" coordsize="21600,21600" o:spt="202" path="m,l,21600r21600,l21600,xe">
                <v:stroke joinstyle="miter"/>
                <v:path gradientshapeok="t" o:connecttype="rect"/>
              </v:shapetype>
              <v:shape id="Zone de texte 2" o:spid="_x0000_s1026" type="#_x0000_t202" style="position:absolute;margin-left:0;margin-top:14.8pt;width:741pt;height:29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">
                <v:textbox>
                  <w:txbxContent>
                    <w:p w:rsidR="00853837" w:rsidRDefault="00853837" w:rsidP="00853837"/>
                  </w:txbxContent>
                </v:textbox>
                <w10:wrap type="square" anchorx="margin"/>
              </v:shape>
            </w:pict>
          </mc:Fallback>
        </mc:AlternateContent>
      </w:r>
    </w:p>
    <w:p w:rsidR="006B0455" w:rsidRDefault="006B0455"/>
    <w:p w:rsidR="006B0455" w:rsidRDefault="006B0455">
      <w:pPr>
        <w:keepLines w:val="0"/>
        <w:widowControl/>
        <w:tabs>
          <w:tab w:val="clear" w:pos="14854"/>
        </w:tabs>
      </w:pPr>
    </w:p>
    <w:sectPr w:rsidR="006B0455">
      <w:headerReference w:type="even" r:id="rId9"/>
      <w:headerReference w:type="default" r:id="rId10"/>
      <w:headerReference w:type="first" r:id="rId11"/>
      <w:footnotePr>
        <w:numRestart w:val="eachPage"/>
      </w:footnotePr>
      <w:pgSz w:w="16838" w:h="11906" w:orient="landscape"/>
      <w:pgMar w:top="1133" w:right="850" w:bottom="850" w:left="1134" w:header="850" w:footer="567" w:gutter="0"/>
      <w:cols w:space="720"/>
      <w:titlePg/>
      <w:docGrid w:linePitch="245" w:charSpace="92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85C" w:rsidRDefault="003D185C">
      <w:r>
        <w:separator/>
      </w:r>
    </w:p>
  </w:endnote>
  <w:endnote w:type="continuationSeparator" w:id="0">
    <w:p w:rsidR="003D185C" w:rsidRDefault="003D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85C" w:rsidRDefault="003D185C">
      <w:r>
        <w:separator/>
      </w:r>
    </w:p>
  </w:footnote>
  <w:footnote w:type="continuationSeparator" w:id="0">
    <w:p w:rsidR="003D185C" w:rsidRDefault="003D185C">
      <w:r>
        <w:continuationSeparator/>
      </w:r>
    </w:p>
  </w:footnote>
  <w:footnote w:id="1">
    <w:p w:rsidR="00C70130" w:rsidRDefault="00C70130" w:rsidP="00C70130">
      <w:pPr>
        <w:pStyle w:val="Notedebasdepage"/>
      </w:pPr>
      <w:r>
        <w:rPr>
          <w:rStyle w:val="FootnoteCharacters"/>
        </w:rPr>
        <w:footnoteRef/>
      </w:r>
      <w:r>
        <w:rPr>
          <w:vertAlign w:val="superscript"/>
        </w:rPr>
        <w:t>)</w:t>
      </w:r>
      <w:r>
        <w:tab/>
        <w:t xml:space="preserve">SGS </w:t>
      </w:r>
      <w:hyperlink r:id="rId1" w:history="1">
        <w:r>
          <w:rPr>
            <w:rStyle w:val="Lienhypertexte"/>
          </w:rPr>
          <w:t>823.1</w:t>
        </w:r>
      </w:hyperlink>
    </w:p>
  </w:footnote>
  <w:footnote w:id="2">
    <w:p w:rsidR="00C70130" w:rsidRDefault="00C70130" w:rsidP="00C70130">
      <w:pPr>
        <w:pStyle w:val="Notedebasdepage"/>
      </w:pPr>
      <w:r>
        <w:rPr>
          <w:rStyle w:val="FootnoteCharacters"/>
        </w:rPr>
        <w:footnoteRef/>
      </w:r>
      <w:r>
        <w:rPr>
          <w:vertAlign w:val="superscript"/>
        </w:rPr>
        <w:t>)</w:t>
      </w:r>
      <w:r>
        <w:tab/>
        <w:t xml:space="preserve">SGS </w:t>
      </w:r>
      <w:hyperlink r:id="rId2" w:history="1">
        <w:r>
          <w:rPr>
            <w:rStyle w:val="Lienhypertexte"/>
          </w:rPr>
          <w:t>822.1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31" w:rsidRDefault="006B0455">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B16C63">
      <w:rPr>
        <w:noProof/>
        <w:sz w:val="16"/>
      </w:rPr>
      <w:t>6</w:t>
    </w:r>
    <w:r>
      <w:rPr>
        <w:sz w:val="16"/>
      </w:rPr>
      <w:fldChar w:fldCharType="end"/>
    </w:r>
    <w:r>
      <w:rPr>
        <w:sz w:val="16"/>
      </w:rPr>
      <w:t xml:space="preserve"> -</w:t>
    </w:r>
  </w:p>
  <w:p w:rsidR="00851A31" w:rsidRDefault="00851A31">
    <w:pPr>
      <w:pStyle w:val="En-tte"/>
      <w:spacing w:line="240" w:lineRule="exact"/>
      <w:jc w:val="center"/>
      <w:rPr>
        <w:sz w:val="22"/>
      </w:rPr>
    </w:pPr>
  </w:p>
  <w:p w:rsidR="00851A31" w:rsidRDefault="00851A31">
    <w:pPr>
      <w:pStyle w:val="En-tte"/>
      <w:spacing w:line="240" w:lineRule="exact"/>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31" w:rsidRDefault="006B0455">
    <w:pPr>
      <w:pStyle w:val="En-tte"/>
      <w:spacing w:line="240" w:lineRule="exact"/>
      <w:jc w:val="center"/>
    </w:pPr>
    <w:r>
      <w:rPr>
        <w:sz w:val="16"/>
      </w:rPr>
      <w:t xml:space="preserve">- </w:t>
    </w:r>
    <w:r>
      <w:rPr>
        <w:sz w:val="16"/>
      </w:rPr>
      <w:fldChar w:fldCharType="begin"/>
    </w:r>
    <w:r>
      <w:rPr>
        <w:sz w:val="16"/>
      </w:rPr>
      <w:instrText xml:space="preserve"> PAGE </w:instrText>
    </w:r>
    <w:r>
      <w:rPr>
        <w:sz w:val="16"/>
      </w:rPr>
      <w:fldChar w:fldCharType="separate"/>
    </w:r>
    <w:r w:rsidR="00B16C63">
      <w:rPr>
        <w:noProof/>
        <w:sz w:val="16"/>
      </w:rPr>
      <w:t>7</w:t>
    </w:r>
    <w:r>
      <w:rPr>
        <w:sz w:val="16"/>
      </w:rPr>
      <w:fldChar w:fldCharType="end"/>
    </w:r>
    <w:r>
      <w:rPr>
        <w:sz w:val="16"/>
      </w:rPr>
      <w:t xml:space="preserve"> -</w:t>
    </w:r>
  </w:p>
  <w:p w:rsidR="00851A31" w:rsidRDefault="00851A31">
    <w:pPr>
      <w:pStyle w:val="En-tte"/>
      <w:spacing w:line="240" w:lineRule="exact"/>
      <w:jc w:val="center"/>
      <w:rPr>
        <w:sz w:val="22"/>
      </w:rPr>
    </w:pPr>
  </w:p>
  <w:p w:rsidR="00851A31" w:rsidRDefault="00851A31">
    <w:pPr>
      <w:pStyle w:val="En-tte"/>
      <w:spacing w:line="240" w:lineRule="exact"/>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31" w:rsidRDefault="00851A31">
    <w:pPr>
      <w:pStyle w:val="En-tte"/>
      <w:spacing w:line="240" w:lineRule="exact"/>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4285"/>
    <w:multiLevelType w:val="hybridMultilevel"/>
    <w:tmpl w:val="A790B88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6E5F7359"/>
    <w:multiLevelType w:val="hybridMultilevel"/>
    <w:tmpl w:val="116CC8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AA864C0"/>
    <w:multiLevelType w:val="hybridMultilevel"/>
    <w:tmpl w:val="8E0CEA74"/>
    <w:lvl w:ilvl="0" w:tplc="DD8A76C2">
      <w:start w:val="1"/>
      <w:numFmt w:val="decimal"/>
      <w:lvlText w:val="%1."/>
      <w:lvlJc w:val="left"/>
      <w:pPr>
        <w:ind w:left="720" w:hanging="360"/>
      </w:pPr>
      <w:rPr>
        <w:rFonts w:hint="default"/>
        <w:b/>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09"/>
    <w:rsid w:val="001509F1"/>
    <w:rsid w:val="003D185C"/>
    <w:rsid w:val="004033CC"/>
    <w:rsid w:val="00550509"/>
    <w:rsid w:val="005868C1"/>
    <w:rsid w:val="005955B5"/>
    <w:rsid w:val="006B0455"/>
    <w:rsid w:val="00757C2A"/>
    <w:rsid w:val="00851A31"/>
    <w:rsid w:val="00853837"/>
    <w:rsid w:val="008E167D"/>
    <w:rsid w:val="00A55C7F"/>
    <w:rsid w:val="00B16C63"/>
    <w:rsid w:val="00B827CA"/>
    <w:rsid w:val="00BD348B"/>
    <w:rsid w:val="00C57073"/>
    <w:rsid w:val="00C70130"/>
    <w:rsid w:val="00C82D7E"/>
    <w:rsid w:val="00CB2BE0"/>
    <w:rsid w:val="00E97975"/>
  </w:rsids>
  <m:mathPr>
    <m:mathFont m:val="Cambria Math"/>
    <m:brkBin m:val="before"/>
    <m:brkBinSub m:val="--"/>
    <m:smallFrac m:val="0"/>
    <m:dispDef/>
    <m:lMargin m:val="0"/>
    <m:rMargin m:val="0"/>
    <m:defJc m:val="centerGroup"/>
    <m:wrapRight/>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3827867"/>
  <w15:chartTrackingRefBased/>
  <w15:docId w15:val="{2752DB3F-6682-4641-A2D3-0CE61818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widowControl w:val="0"/>
      <w:tabs>
        <w:tab w:val="right" w:pos="14854"/>
      </w:tabs>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styleId="Appelnotedebasdep">
    <w:name w:val="footnote reference"/>
    <w:rPr>
      <w:b w:val="0"/>
      <w:vertAlign w:val="superscript"/>
    </w:rPr>
  </w:style>
  <w:style w:type="character" w:customStyle="1" w:styleId="FootnoteCharacters">
    <w:name w:val="Footnote Characters"/>
    <w:rPr>
      <w:rFonts w:ascii="Arial" w:hAnsi="Arial"/>
      <w:vertAlign w:val="superscript"/>
    </w:rPr>
  </w:style>
  <w:style w:type="character" w:styleId="Lienhypertexte">
    <w:name w:val="Hyperlink"/>
    <w:rPr>
      <w:color w:val="000080"/>
      <w:u w:val="single"/>
    </w:rPr>
  </w:style>
  <w:style w:type="character" w:styleId="Appeldenotedefin">
    <w:name w:val="endnote reference"/>
    <w:rPr>
      <w:vertAlign w:val="superscript"/>
    </w:rPr>
  </w:style>
  <w:style w:type="character" w:customStyle="1" w:styleId="EndnoteCharacters">
    <w:name w:val="Endnote Characters"/>
  </w:style>
  <w:style w:type="paragraph" w:customStyle="1" w:styleId="Autor">
    <w:name w:val="Autor"/>
    <w:basedOn w:val="Normal"/>
    <w:rPr>
      <w:i/>
      <w:iCs/>
    </w:rPr>
  </w:style>
  <w:style w:type="paragraph" w:customStyle="1" w:styleId="Aktion">
    <w:name w:val="Aktion"/>
    <w:basedOn w:val="Normal"/>
    <w:rPr>
      <w:i/>
      <w:iCs/>
    </w:rPr>
  </w:style>
  <w:style w:type="paragraph" w:customStyle="1" w:styleId="EmptySectionRemark">
    <w:name w:val="Empty_Section_Remark"/>
    <w:basedOn w:val="Normal"/>
    <w:rPr>
      <w:i/>
      <w:iCs/>
    </w:rPr>
  </w:style>
  <w:style w:type="paragraph" w:customStyle="1" w:styleId="StandardvorAufzhlung">
    <w:name w:val="Standard vor Aufzählung"/>
    <w:basedOn w:val="Normal"/>
  </w:style>
  <w:style w:type="paragraph" w:customStyle="1" w:styleId="StandardvorTabelle">
    <w:name w:val="Standard vor Tabelle"/>
    <w:basedOn w:val="Normal"/>
  </w:style>
  <w:style w:type="paragraph" w:styleId="En-tte">
    <w:name w:val="header"/>
    <w:pPr>
      <w:widowControl w:val="0"/>
      <w:tabs>
        <w:tab w:val="right" w:pos="14854"/>
      </w:tabs>
      <w:suppressAutoHyphens/>
    </w:pPr>
    <w:rPr>
      <w:rFonts w:ascii="Arial" w:hAnsi="Arial"/>
      <w:sz w:val="18"/>
    </w:rPr>
  </w:style>
  <w:style w:type="paragraph" w:styleId="Pieddepage">
    <w:name w:val="footer"/>
    <w:basedOn w:val="En-tte"/>
  </w:style>
  <w:style w:type="paragraph" w:customStyle="1" w:styleId="Erlasstitel">
    <w:name w:val="Erlasstitel"/>
    <w:basedOn w:val="Normal"/>
    <w:next w:val="Datum"/>
    <w:pPr>
      <w:keepNext/>
      <w:suppressAutoHyphens/>
      <w:spacing w:before="240" w:after="240"/>
    </w:pPr>
    <w:rPr>
      <w:b/>
      <w:sz w:val="24"/>
    </w:rPr>
  </w:style>
  <w:style w:type="paragraph" w:customStyle="1" w:styleId="Datum">
    <w:name w:val="Datum"/>
    <w:basedOn w:val="Normal"/>
    <w:next w:val="Autor"/>
    <w:pPr>
      <w:keepNext/>
      <w:pBdr>
        <w:top w:val="none" w:sz="0" w:space="0" w:color="000000"/>
        <w:left w:val="none" w:sz="0" w:space="0" w:color="000000"/>
        <w:bottom w:val="single" w:sz="4" w:space="10" w:color="000000"/>
        <w:right w:val="none" w:sz="0" w:space="0" w:color="000000"/>
      </w:pBdr>
      <w:spacing w:after="240"/>
      <w:ind w:left="28" w:right="28"/>
    </w:pPr>
    <w:rPr>
      <w:position w:val="2"/>
    </w:rPr>
  </w:style>
  <w:style w:type="paragraph" w:customStyle="1" w:styleId="Grundlage">
    <w:name w:val="Grundlage"/>
    <w:basedOn w:val="Normal"/>
    <w:next w:val="Aktion"/>
    <w:pPr>
      <w:spacing w:before="240" w:after="40"/>
    </w:pPr>
  </w:style>
  <w:style w:type="paragraph" w:customStyle="1" w:styleId="Schluss">
    <w:name w:val="Schluss"/>
    <w:basedOn w:val="Normal"/>
    <w:pPr>
      <w:tabs>
        <w:tab w:val="clear" w:pos="14854"/>
        <w:tab w:val="left" w:pos="6124"/>
      </w:tabs>
      <w:spacing w:before="480" w:after="40"/>
      <w:ind w:left="3062" w:hanging="3062"/>
    </w:pPr>
  </w:style>
  <w:style w:type="paragraph" w:customStyle="1" w:styleId="Nebenzitat">
    <w:name w:val="Nebenzitat"/>
    <w:basedOn w:val="Normal"/>
  </w:style>
  <w:style w:type="paragraph" w:customStyle="1" w:styleId="Abschnittstitel">
    <w:name w:val="Abschnittstitel"/>
    <w:basedOn w:val="Normal"/>
    <w:pPr>
      <w:keepNext/>
      <w:suppressAutoHyphens/>
    </w:pPr>
    <w:rPr>
      <w:b/>
      <w:sz w:val="22"/>
    </w:rPr>
  </w:style>
  <w:style w:type="paragraph" w:customStyle="1" w:styleId="TitelStufe1">
    <w:name w:val="Titel Stufe 1"/>
    <w:basedOn w:val="Normal"/>
    <w:next w:val="Artikel"/>
    <w:pPr>
      <w:keepNext/>
      <w:suppressAutoHyphens/>
      <w:spacing w:before="360"/>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Corpsdetexte">
    <w:name w:val="Body Text"/>
    <w:basedOn w:val="Normal"/>
    <w:pPr>
      <w:spacing w:after="140" w:line="288" w:lineRule="auto"/>
    </w:pPr>
  </w:style>
  <w:style w:type="paragraph" w:styleId="Commentaire">
    <w:name w:val="annotation text"/>
    <w:basedOn w:val="Normal"/>
    <w:pPr>
      <w:keepNext/>
      <w:spacing w:line="144" w:lineRule="exact"/>
    </w:pPr>
    <w:rPr>
      <w:sz w:val="14"/>
    </w:rPr>
  </w:style>
  <w:style w:type="paragraph" w:customStyle="1" w:styleId="Artikel">
    <w:name w:val="Artikel"/>
    <w:basedOn w:val="Normal"/>
    <w:next w:val="Normal"/>
    <w:pPr>
      <w:keepNext/>
      <w:tabs>
        <w:tab w:val="clear" w:pos="14854"/>
        <w:tab w:val="left" w:pos="1360"/>
      </w:tabs>
      <w:spacing w:before="240" w:after="60"/>
      <w:ind w:left="680" w:hanging="680"/>
    </w:pPr>
  </w:style>
  <w:style w:type="paragraph" w:customStyle="1" w:styleId="Artikelaufgehoben">
    <w:name w:val="Artikel (aufgehoben)"/>
    <w:basedOn w:val="Artike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ste1">
    <w:name w:val="Liste 1"/>
    <w:basedOn w:val="Normal"/>
    <w:pPr>
      <w:ind w:left="340" w:hanging="340"/>
    </w:pPr>
  </w:style>
  <w:style w:type="paragraph" w:customStyle="1" w:styleId="Liste1mitUnterelementen">
    <w:name w:val="Liste 1 mit Unterelementen"/>
    <w:basedOn w:val="Liste1"/>
  </w:style>
  <w:style w:type="paragraph" w:customStyle="1" w:styleId="Liste21">
    <w:name w:val="Liste 21"/>
    <w:basedOn w:val="Liste1"/>
    <w:pPr>
      <w:ind w:left="680"/>
    </w:pPr>
  </w:style>
  <w:style w:type="paragraph" w:customStyle="1" w:styleId="Liste31">
    <w:name w:val="Liste 31"/>
    <w:basedOn w:val="Liste21"/>
    <w:pPr>
      <w:ind w:left="1021"/>
    </w:pPr>
  </w:style>
  <w:style w:type="paragraph" w:styleId="Notedebasdepage">
    <w:name w:val="footnote text"/>
    <w:basedOn w:val="Normal"/>
    <w:link w:val="NotedebasdepageCar"/>
    <w:pPr>
      <w:spacing w:line="188" w:lineRule="exact"/>
      <w:ind w:left="210" w:hanging="210"/>
    </w:pPr>
    <w:rPr>
      <w:sz w:val="16"/>
    </w:rPr>
  </w:style>
  <w:style w:type="paragraph" w:customStyle="1" w:styleId="ACEn-tte">
    <w:name w:val="_AC_En-tête"/>
    <w:basedOn w:val="Normal"/>
    <w:rsid w:val="00E97975"/>
    <w:pPr>
      <w:keepLines w:val="0"/>
      <w:widowControl/>
      <w:tabs>
        <w:tab w:val="clear" w:pos="14854"/>
      </w:tabs>
      <w:spacing w:line="200" w:lineRule="exact"/>
    </w:pPr>
    <w:rPr>
      <w:rFonts w:ascii="Arial Narrow" w:eastAsia="Times" w:hAnsi="Arial Narrow"/>
      <w:sz w:val="16"/>
      <w:lang w:val="fr-FR" w:eastAsia="fr-FR"/>
    </w:rPr>
  </w:style>
  <w:style w:type="table" w:styleId="Grilledutableau">
    <w:name w:val="Table Grid"/>
    <w:basedOn w:val="TableauNormal"/>
    <w:uiPriority w:val="59"/>
    <w:rsid w:val="00B82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B0455"/>
    <w:pPr>
      <w:ind w:left="720"/>
      <w:contextualSpacing/>
    </w:pPr>
  </w:style>
  <w:style w:type="character" w:customStyle="1" w:styleId="NotedebasdepageCar">
    <w:name w:val="Note de bas de page Car"/>
    <w:basedOn w:val="Policepardfaut"/>
    <w:link w:val="Notedebasdepage"/>
    <w:rsid w:val="00C70130"/>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pt@admin.vs.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ex.vs.ch/data/822.1/de" TargetMode="External"/><Relationship Id="rId1" Type="http://schemas.openxmlformats.org/officeDocument/2006/relationships/hyperlink" Target="https://lex.vs.ch/data/823.1/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2490</Words>
  <Characters>17728</Characters>
  <Application>Microsoft Office Word</Application>
  <DocSecurity>0</DocSecurity>
  <Lines>147</Lines>
  <Paragraphs>40</Paragraphs>
  <ScaleCrop>false</ScaleCrop>
  <HeadingPairs>
    <vt:vector size="2" baseType="variant">
      <vt:variant>
        <vt:lpstr>Titre</vt:lpstr>
      </vt:variant>
      <vt:variant>
        <vt:i4>1</vt:i4>
      </vt:variant>
    </vt:vector>
  </HeadingPairs>
  <TitlesOfParts>
    <vt:vector size="1" baseType="lpstr">
      <vt:lpstr>GC/GR-2019-020</vt:lpstr>
    </vt:vector>
  </TitlesOfParts>
  <Company>Etat du Valais - Staat Wallis</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GC/GR-2019-020</dc:title>
  <dc:subject/>
  <dc:creator>Alix MEISTER</dc:creator>
  <cp:keywords/>
  <cp:lastModifiedBy>Alix MEISTER</cp:lastModifiedBy>
  <cp:revision>9</cp:revision>
  <cp:lastPrinted>1899-12-31T23:00:00Z</cp:lastPrinted>
  <dcterms:created xsi:type="dcterms:W3CDTF">2019-04-17T15:28:00Z</dcterms:created>
  <dcterms:modified xsi:type="dcterms:W3CDTF">2019-04-18T15:34:00Z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Synopse</vt:lpwstr>
  </property>
</Properties>
</file>