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0701" w14:textId="77777777" w:rsidR="000A525B" w:rsidRDefault="000A525B"/>
    <w:p w14:paraId="61BA75B2" w14:textId="77777777" w:rsidR="00405CCA" w:rsidRDefault="00405CCA"/>
    <w:p w14:paraId="494220AE" w14:textId="77777777" w:rsidR="006443DD" w:rsidRDefault="006443DD"/>
    <w:p w14:paraId="08EC8616" w14:textId="77777777" w:rsidR="006443DD" w:rsidRDefault="006443DD">
      <w:pPr>
        <w:sectPr w:rsidR="006443DD" w:rsidSect="004569F3">
          <w:headerReference w:type="default" r:id="rId8"/>
          <w:footerReference w:type="default" r:id="rId9"/>
          <w:headerReference w:type="first" r:id="rId10"/>
          <w:pgSz w:w="11906" w:h="16838"/>
          <w:pgMar w:top="1417" w:right="1417" w:bottom="1417" w:left="1417" w:header="568" w:footer="708" w:gutter="0"/>
          <w:cols w:space="708"/>
          <w:titlePg/>
          <w:docGrid w:linePitch="360"/>
        </w:sectPr>
      </w:pPr>
    </w:p>
    <w:p w14:paraId="74E0A96B" w14:textId="77777777" w:rsidR="00C33180" w:rsidRDefault="00C33180"/>
    <w:p w14:paraId="69D06D3F" w14:textId="77777777" w:rsidR="00C33180" w:rsidRDefault="00F77E4C" w:rsidP="007A3538">
      <w:pPr>
        <w:pStyle w:val="20Fichethmatique"/>
      </w:pPr>
      <w:r>
        <w:t>Article-type</w:t>
      </w:r>
    </w:p>
    <w:p w14:paraId="7BFC01FE" w14:textId="77777777" w:rsidR="00C33180" w:rsidRDefault="00860C52" w:rsidP="00F52776">
      <w:pPr>
        <w:pStyle w:val="21FTTitre"/>
      </w:pPr>
      <w:r w:rsidRPr="00860C52">
        <w:t>Gestion de la mobilité et du stationnement</w:t>
      </w:r>
    </w:p>
    <w:p w14:paraId="0DE573FF" w14:textId="77777777" w:rsidR="00C33180" w:rsidRDefault="00C33180"/>
    <w:p w14:paraId="369FC7E4" w14:textId="77777777" w:rsidR="00071F0A" w:rsidRDefault="00994E57" w:rsidP="00071F0A">
      <w:pPr>
        <w:pStyle w:val="22FTTitreparagraphe"/>
      </w:pPr>
      <w:r w:rsidRPr="00994E57">
        <w:t>Fiche thématique concernée</w:t>
      </w:r>
    </w:p>
    <w:p w14:paraId="2AC44FE5" w14:textId="7E8B0AF8" w:rsidR="00071F0A" w:rsidRDefault="00860C52">
      <w:hyperlink r:id="rId11" w:history="1">
        <w:r w:rsidRPr="007918EE">
          <w:rPr>
            <w:rStyle w:val="Lienhypertexte"/>
          </w:rPr>
          <w:t>Mobilité et infrastructures de transport</w:t>
        </w:r>
      </w:hyperlink>
    </w:p>
    <w:p w14:paraId="4839C468" w14:textId="77777777" w:rsidR="00BE4449" w:rsidRDefault="00BE4449"/>
    <w:p w14:paraId="6B3096CE" w14:textId="77777777" w:rsidR="00BE4449" w:rsidRDefault="00994E57" w:rsidP="007505AB">
      <w:pPr>
        <w:pStyle w:val="22FTTitreparagraphe"/>
      </w:pPr>
      <w:r w:rsidRPr="00994E57">
        <w:t>Proposition d’articles-type à intégrer au RCCZ</w:t>
      </w:r>
    </w:p>
    <w:p w14:paraId="4216528C" w14:textId="77777777" w:rsidR="00BE4449" w:rsidRPr="00994E57" w:rsidRDefault="00994E57">
      <w:pPr>
        <w:rPr>
          <w:i/>
        </w:rPr>
      </w:pPr>
      <w:r w:rsidRPr="00994E57">
        <w:rPr>
          <w:i/>
        </w:rPr>
        <w:t>(</w:t>
      </w:r>
      <w:r w:rsidRPr="00994E57">
        <w:rPr>
          <w:i/>
          <w:highlight w:val="green"/>
        </w:rPr>
        <w:t>surlignage</w:t>
      </w:r>
      <w:r w:rsidRPr="00994E57">
        <w:rPr>
          <w:i/>
        </w:rPr>
        <w:t xml:space="preserve"> = à adapter par la commune)</w:t>
      </w:r>
    </w:p>
    <w:p w14:paraId="6D69AC7C" w14:textId="77777777" w:rsidR="00994E57" w:rsidRDefault="00994E57"/>
    <w:p w14:paraId="0A0AF2E8" w14:textId="77777777" w:rsidR="00994E57" w:rsidRDefault="00752F75" w:rsidP="00752F75">
      <w:pPr>
        <w:pStyle w:val="40ArtTitre"/>
      </w:pPr>
      <w:r w:rsidRPr="00752F75">
        <w:t xml:space="preserve">Art. </w:t>
      </w:r>
      <w:r w:rsidRPr="00752F75">
        <w:rPr>
          <w:highlight w:val="green"/>
        </w:rPr>
        <w:t>xx</w:t>
      </w:r>
      <w:r>
        <w:tab/>
      </w:r>
      <w:r w:rsidR="00EB5DF0" w:rsidRPr="00EB5DF0">
        <w:t>Stationnement vélo</w:t>
      </w:r>
    </w:p>
    <w:p w14:paraId="61156A72" w14:textId="77777777" w:rsidR="00994E57" w:rsidRDefault="00EB5DF0" w:rsidP="006153DB">
      <w:pPr>
        <w:pStyle w:val="41Artalina"/>
        <w:spacing w:after="40"/>
        <w:ind w:left="357" w:hanging="357"/>
      </w:pPr>
      <w:r w:rsidRPr="00EB5DF0">
        <w:t>Le nombre et la conception des cases de stationnement pour les vélos doivent être conformes aux normes VSS en vigueur.</w:t>
      </w:r>
    </w:p>
    <w:p w14:paraId="0DA19226" w14:textId="77777777" w:rsidR="00EB5DF0" w:rsidRDefault="00EB5DF0" w:rsidP="006153DB">
      <w:pPr>
        <w:pStyle w:val="41Artalina"/>
        <w:spacing w:after="40"/>
        <w:ind w:left="357" w:hanging="357"/>
      </w:pPr>
      <w:r w:rsidRPr="00EB5DF0">
        <w:t>L’aménagement des cases de stationnement se fait prioritairement sur fonds privés.</w:t>
      </w:r>
    </w:p>
    <w:p w14:paraId="0A708384" w14:textId="77777777" w:rsidR="00EB5DF0" w:rsidRDefault="00EB5DF0" w:rsidP="006153DB">
      <w:pPr>
        <w:pStyle w:val="41Artalina"/>
        <w:spacing w:after="40"/>
        <w:ind w:left="357" w:hanging="357"/>
      </w:pPr>
      <w:r w:rsidRPr="00EB5DF0">
        <w:tab/>
        <w:t>En cas d’impossibilité de réalisation démontrée des besoins en stationnement vélo, la commune peut dispenser d’aménager tout ou partie des cases de stationnement moyennant une contribution de remplacement afin de réaliser des mesures de compensation ailleurs sur le territoire communal. Le montant de la contribution de remplacement est fixé, par voie de règlement, conformément aux critères figurant dans la législation routière.</w:t>
      </w:r>
    </w:p>
    <w:p w14:paraId="19720BEA" w14:textId="77777777" w:rsidR="00EB5DF0" w:rsidRDefault="00EB5DF0" w:rsidP="00EB5DF0">
      <w:pPr>
        <w:pStyle w:val="41Artalina"/>
        <w:numPr>
          <w:ilvl w:val="0"/>
          <w:numId w:val="0"/>
        </w:numPr>
      </w:pPr>
    </w:p>
    <w:p w14:paraId="473FC2E2" w14:textId="77777777" w:rsidR="00384298" w:rsidRDefault="00384298" w:rsidP="00384298">
      <w:pPr>
        <w:pStyle w:val="40ArtTitre"/>
      </w:pPr>
      <w:r w:rsidRPr="00752F75">
        <w:t xml:space="preserve">Art. </w:t>
      </w:r>
      <w:r w:rsidRPr="00752F75">
        <w:rPr>
          <w:highlight w:val="green"/>
        </w:rPr>
        <w:t>xx</w:t>
      </w:r>
      <w:r>
        <w:tab/>
      </w:r>
      <w:r w:rsidR="00ED795C" w:rsidRPr="00ED795C">
        <w:t>Stationnement de véhicules motorisés</w:t>
      </w:r>
    </w:p>
    <w:p w14:paraId="74243EC0" w14:textId="77777777" w:rsidR="00384298" w:rsidRDefault="00384298" w:rsidP="00384298">
      <w:pPr>
        <w:pStyle w:val="41Artalina"/>
        <w:numPr>
          <w:ilvl w:val="0"/>
          <w:numId w:val="18"/>
        </w:numPr>
      </w:pPr>
      <w:r>
        <w:t>Le dimensionnement de l’offre en cases de stationnement pour véhicules motorisés ainsi que leurs accès sont définis selon les normes VSS en vigueur.</w:t>
      </w:r>
    </w:p>
    <w:p w14:paraId="2D88461C" w14:textId="77777777" w:rsidR="00384298" w:rsidRDefault="00384298" w:rsidP="00384298">
      <w:pPr>
        <w:pStyle w:val="41Artalina"/>
        <w:numPr>
          <w:ilvl w:val="0"/>
          <w:numId w:val="18"/>
        </w:numPr>
      </w:pPr>
      <w:r>
        <w:t>Les dimensions, les caractéristiques et le ratio des cases de stationnement pour véhicules motorisés à destination des personnes à mobilité réduite ainsi que leurs accès sont définis selon la norme VSS en vigueur.</w:t>
      </w:r>
    </w:p>
    <w:p w14:paraId="5FF66B79" w14:textId="77777777" w:rsidR="00384298" w:rsidRDefault="00384298" w:rsidP="00384298">
      <w:pPr>
        <w:pStyle w:val="41Artalina"/>
        <w:numPr>
          <w:ilvl w:val="0"/>
          <w:numId w:val="18"/>
        </w:numPr>
      </w:pPr>
      <w:r>
        <w:t xml:space="preserve">L’aménagement des cases de stationnement se fait uniquement sur fonds privés. </w:t>
      </w:r>
    </w:p>
    <w:p w14:paraId="0B85EFDB" w14:textId="77777777" w:rsidR="00384298" w:rsidRDefault="00384298" w:rsidP="00384298">
      <w:pPr>
        <w:pStyle w:val="41Artalina"/>
        <w:numPr>
          <w:ilvl w:val="0"/>
          <w:numId w:val="18"/>
        </w:numPr>
      </w:pPr>
      <w:r>
        <w:t xml:space="preserve">La commune peut accorder, après consultation des services cantonaux compétents, une dérogation quant au nombre de cases à aménager. </w:t>
      </w:r>
    </w:p>
    <w:p w14:paraId="2C4F5171" w14:textId="77777777" w:rsidR="00384298" w:rsidRDefault="00384298" w:rsidP="00384298">
      <w:pPr>
        <w:pStyle w:val="41Artalina"/>
        <w:numPr>
          <w:ilvl w:val="0"/>
          <w:numId w:val="18"/>
        </w:numPr>
      </w:pPr>
      <w:r>
        <w:t xml:space="preserve">Un requérant peut prévoir une offre diminuée sur son terrain si une complémentarité d’usage est trouvée avec du stationnement existant sur une parcelle voisine / dans le quartier. De même, pour tout nouveau parking privé d’entreprise ou privé à usage public (p. ex. commerces) de plus de </w:t>
      </w:r>
      <w:r w:rsidRPr="00130FC9">
        <w:rPr>
          <w:highlight w:val="green"/>
        </w:rPr>
        <w:t>XX</w:t>
      </w:r>
      <w:r>
        <w:t xml:space="preserve"> places, la Commune peut exiger l’ouverture au public d’au moins une partie de ces places en dehors des heures d’utilisation principales, en particulier le soir et le weekend. Une attention est portée lors de l’analyse afin de ne pas proposer une suroffre de stationnement.</w:t>
      </w:r>
    </w:p>
    <w:p w14:paraId="79F42E52" w14:textId="77777777" w:rsidR="00384298" w:rsidRDefault="00384298" w:rsidP="00384298">
      <w:pPr>
        <w:pStyle w:val="41Artalina"/>
        <w:numPr>
          <w:ilvl w:val="0"/>
          <w:numId w:val="18"/>
        </w:numPr>
      </w:pPr>
      <w:r>
        <w:t>En cas d’impossibilité de réalisation démontrée des besoins en stationnement de véhicules motorisés, une contribution de remplacement est exigée par la Commune afin de mettre en place des mesures de compensation ailleurs sur le territoire communal. Le montant de la contribution de remplacement est fixé, par voie de règlement, conformément aux critères figurant dans la législation routière.</w:t>
      </w:r>
    </w:p>
    <w:p w14:paraId="27A1EA90" w14:textId="77777777" w:rsidR="00384298" w:rsidRDefault="00384298" w:rsidP="00384298">
      <w:pPr>
        <w:pStyle w:val="41Artalina"/>
        <w:numPr>
          <w:ilvl w:val="0"/>
          <w:numId w:val="18"/>
        </w:numPr>
      </w:pPr>
      <w:r>
        <w:lastRenderedPageBreak/>
        <w:t>Des dérogations aux minimaux sans compensation financière peuvent être octroyées lorsque des justifications d’accessibilité alternative sont apportées par le requérant via un concept de mobilité (autopartage, mise à disposition de vélos électriques en libre-service, plan de mobilité d'entreprise, etc.). Ces dérogations peuvent être octroyées tant à des logements qu’à des entreprises, commerces, etc. La commune se réserve le droit, en tout temps, de vérifier l’application et le suivi des mesures d’accompagnement.</w:t>
      </w:r>
    </w:p>
    <w:p w14:paraId="09B06A03" w14:textId="77777777" w:rsidR="00384298" w:rsidRDefault="00384298" w:rsidP="00384298">
      <w:pPr>
        <w:pStyle w:val="41Artalina"/>
        <w:numPr>
          <w:ilvl w:val="0"/>
          <w:numId w:val="18"/>
        </w:numPr>
      </w:pPr>
      <w:r>
        <w:t xml:space="preserve">Des dérogations aux minimaux doivent en outre être évaluées dans le cadre de développement de plans de quartier ou de plans d’aménagement détaillé tant à des logements qu’à des entreprises, commerces, etc. </w:t>
      </w:r>
    </w:p>
    <w:p w14:paraId="4FDFA472" w14:textId="77777777" w:rsidR="00EB5DF0" w:rsidRDefault="00EB5DF0" w:rsidP="00EB5DF0">
      <w:pPr>
        <w:pStyle w:val="41Artalina"/>
        <w:numPr>
          <w:ilvl w:val="0"/>
          <w:numId w:val="0"/>
        </w:numPr>
      </w:pPr>
    </w:p>
    <w:p w14:paraId="51B47B76" w14:textId="77777777" w:rsidR="00384298" w:rsidRDefault="00384298" w:rsidP="00384298">
      <w:pPr>
        <w:pStyle w:val="40ArtTitre"/>
      </w:pPr>
      <w:r w:rsidRPr="00752F75">
        <w:t xml:space="preserve">Art. </w:t>
      </w:r>
      <w:r w:rsidRPr="00752F75">
        <w:rPr>
          <w:highlight w:val="green"/>
        </w:rPr>
        <w:t>xx</w:t>
      </w:r>
      <w:r>
        <w:tab/>
      </w:r>
      <w:r w:rsidRPr="00384298">
        <w:t>Secteurs de stationnement</w:t>
      </w:r>
    </w:p>
    <w:p w14:paraId="13F133BD" w14:textId="77777777" w:rsidR="00384298" w:rsidRDefault="00384298" w:rsidP="00384298">
      <w:pPr>
        <w:pStyle w:val="41Artalina"/>
        <w:numPr>
          <w:ilvl w:val="0"/>
          <w:numId w:val="19"/>
        </w:numPr>
      </w:pPr>
      <w:r>
        <w:t xml:space="preserve">En ce qui concerne le logement et les activités, les ratios de stationnement dans la commune sont fixés en fonction des secteurs délimités dans le plan annexé au présent règlement. </w:t>
      </w:r>
    </w:p>
    <w:p w14:paraId="275A9348" w14:textId="77777777" w:rsidR="00384298" w:rsidRDefault="00384298" w:rsidP="00384298">
      <w:pPr>
        <w:pStyle w:val="41Artalina"/>
        <w:numPr>
          <w:ilvl w:val="0"/>
          <w:numId w:val="19"/>
        </w:numPr>
      </w:pPr>
      <w:r>
        <w:t>Les secteurs sont définis par le concept et le plan de gestion du stationnement.</w:t>
      </w:r>
    </w:p>
    <w:p w14:paraId="58D0FEC8" w14:textId="77777777" w:rsidR="00384298" w:rsidRDefault="00384298" w:rsidP="00EB5DF0">
      <w:pPr>
        <w:pStyle w:val="41Artalina"/>
        <w:numPr>
          <w:ilvl w:val="0"/>
          <w:numId w:val="0"/>
        </w:numPr>
      </w:pPr>
    </w:p>
    <w:p w14:paraId="64CB1F63" w14:textId="77777777" w:rsidR="00384298" w:rsidRDefault="00384298" w:rsidP="00384298">
      <w:pPr>
        <w:pStyle w:val="40ArtTitre"/>
      </w:pPr>
      <w:r w:rsidRPr="00752F75">
        <w:t xml:space="preserve">Art. </w:t>
      </w:r>
      <w:r w:rsidRPr="00752F75">
        <w:rPr>
          <w:highlight w:val="green"/>
        </w:rPr>
        <w:t>xx</w:t>
      </w:r>
      <w:r>
        <w:tab/>
      </w:r>
      <w:r w:rsidRPr="00384298">
        <w:t>Ratio de base et facteur d’ajustement pour le stationnement motorisé</w:t>
      </w:r>
    </w:p>
    <w:p w14:paraId="5F8005E9" w14:textId="77777777" w:rsidR="00532C02" w:rsidRDefault="00384298" w:rsidP="00532C02">
      <w:pPr>
        <w:pStyle w:val="41Artalina"/>
        <w:numPr>
          <w:ilvl w:val="0"/>
          <w:numId w:val="20"/>
        </w:numPr>
      </w:pPr>
      <w:r>
        <w:t xml:space="preserve"> </w:t>
      </w:r>
      <w:r w:rsidR="00532C02">
        <w:t>Le nombre de cases de stationnement admissible par secteur correspond au ratio de base multiplié par le facteur d’ajustement.</w:t>
      </w:r>
    </w:p>
    <w:p w14:paraId="4D6F9987" w14:textId="77777777" w:rsidR="00384298" w:rsidRDefault="00532C02" w:rsidP="00532C02">
      <w:pPr>
        <w:pStyle w:val="41Artalina"/>
        <w:numPr>
          <w:ilvl w:val="0"/>
          <w:numId w:val="20"/>
        </w:numPr>
      </w:pPr>
      <w:r>
        <w:t>Le tableau ci-dessous fixe ces différentes exigences (ratio de base et facteur d’ajustement) pour tous les types d’affectation (logements et activités).</w:t>
      </w:r>
    </w:p>
    <w:p w14:paraId="4311A945" w14:textId="77777777" w:rsidR="00630EDD" w:rsidRDefault="00630EDD" w:rsidP="00630EDD">
      <w:pPr>
        <w:pStyle w:val="41Artalina"/>
        <w:numPr>
          <w:ilvl w:val="0"/>
          <w:numId w:val="0"/>
        </w:numPr>
        <w:ind w:left="360"/>
      </w:pPr>
    </w:p>
    <w:tbl>
      <w:tblPr>
        <w:tblW w:w="934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2126"/>
        <w:gridCol w:w="703"/>
        <w:gridCol w:w="715"/>
        <w:gridCol w:w="708"/>
        <w:gridCol w:w="709"/>
        <w:gridCol w:w="709"/>
        <w:gridCol w:w="708"/>
        <w:gridCol w:w="851"/>
        <w:gridCol w:w="709"/>
      </w:tblGrid>
      <w:tr w:rsidR="00532C02" w:rsidRPr="00852E3F" w14:paraId="30FFAADC" w14:textId="77777777" w:rsidTr="00974BDA">
        <w:trPr>
          <w:trHeight w:val="390"/>
          <w:jc w:val="center"/>
        </w:trPr>
        <w:tc>
          <w:tcPr>
            <w:tcW w:w="1408" w:type="dxa"/>
            <w:vMerge w:val="restart"/>
            <w:shd w:val="clear" w:color="auto" w:fill="auto"/>
            <w:tcMar>
              <w:top w:w="100" w:type="dxa"/>
              <w:left w:w="100" w:type="dxa"/>
              <w:bottom w:w="100" w:type="dxa"/>
              <w:right w:w="100" w:type="dxa"/>
            </w:tcMar>
          </w:tcPr>
          <w:p w14:paraId="4D61C0BC" w14:textId="77777777" w:rsidR="00532C02" w:rsidRPr="001A5CAB" w:rsidRDefault="00532C02" w:rsidP="00974BDA">
            <w:pPr>
              <w:widowControl w:val="0"/>
              <w:pBdr>
                <w:top w:val="nil"/>
                <w:left w:val="nil"/>
                <w:bottom w:val="nil"/>
                <w:right w:val="nil"/>
                <w:between w:val="nil"/>
              </w:pBdr>
              <w:rPr>
                <w:rFonts w:eastAsia="Helvetica Neue" w:cs="Helvetica Neue"/>
                <w:b/>
                <w:szCs w:val="19"/>
              </w:rPr>
            </w:pPr>
            <w:r w:rsidRPr="001A5CAB">
              <w:rPr>
                <w:rFonts w:eastAsia="Helvetica Neue" w:cs="Helvetica Neue"/>
                <w:b/>
                <w:szCs w:val="19"/>
              </w:rPr>
              <w:t>Affectations</w:t>
            </w:r>
          </w:p>
        </w:tc>
        <w:tc>
          <w:tcPr>
            <w:tcW w:w="2126" w:type="dxa"/>
            <w:vMerge w:val="restart"/>
            <w:shd w:val="clear" w:color="auto" w:fill="auto"/>
            <w:tcMar>
              <w:top w:w="100" w:type="dxa"/>
              <w:left w:w="100" w:type="dxa"/>
              <w:bottom w:w="100" w:type="dxa"/>
              <w:right w:w="100" w:type="dxa"/>
            </w:tcMar>
          </w:tcPr>
          <w:p w14:paraId="3A2BCD54" w14:textId="77777777" w:rsidR="00532C02" w:rsidRPr="00852E3F" w:rsidRDefault="00532C02" w:rsidP="00974BDA">
            <w:pPr>
              <w:widowControl w:val="0"/>
              <w:pBdr>
                <w:top w:val="nil"/>
                <w:left w:val="nil"/>
                <w:bottom w:val="nil"/>
                <w:right w:val="nil"/>
                <w:between w:val="nil"/>
              </w:pBdr>
              <w:rPr>
                <w:rFonts w:eastAsia="Helvetica Neue" w:cs="Helvetica Neue"/>
                <w:b/>
                <w:szCs w:val="19"/>
              </w:rPr>
            </w:pPr>
            <w:r w:rsidRPr="00852E3F">
              <w:rPr>
                <w:rFonts w:eastAsia="Helvetica Neue" w:cs="Helvetica Neue"/>
                <w:b/>
                <w:szCs w:val="19"/>
              </w:rPr>
              <w:t>Ratio de base</w:t>
            </w:r>
          </w:p>
        </w:tc>
        <w:tc>
          <w:tcPr>
            <w:tcW w:w="5812" w:type="dxa"/>
            <w:gridSpan w:val="8"/>
          </w:tcPr>
          <w:p w14:paraId="3D70F1F9" w14:textId="77777777" w:rsidR="00532C02" w:rsidRPr="00852E3F" w:rsidRDefault="00532C02" w:rsidP="00974BDA">
            <w:pPr>
              <w:widowControl w:val="0"/>
              <w:pBdr>
                <w:top w:val="nil"/>
                <w:left w:val="nil"/>
                <w:bottom w:val="nil"/>
                <w:right w:val="nil"/>
                <w:between w:val="nil"/>
              </w:pBdr>
              <w:jc w:val="center"/>
              <w:rPr>
                <w:rFonts w:eastAsia="Helvetica Neue" w:cs="Helvetica Neue"/>
                <w:b/>
                <w:szCs w:val="19"/>
              </w:rPr>
            </w:pPr>
            <w:r w:rsidRPr="00852E3F">
              <w:rPr>
                <w:rFonts w:eastAsia="Helvetica Neue" w:cs="Helvetica Neue"/>
                <w:b/>
                <w:szCs w:val="19"/>
              </w:rPr>
              <w:t>Facteurs d’ajustement</w:t>
            </w:r>
          </w:p>
        </w:tc>
      </w:tr>
      <w:tr w:rsidR="00532C02" w:rsidRPr="00852E3F" w14:paraId="79EFA5D1" w14:textId="77777777" w:rsidTr="00974BDA">
        <w:trPr>
          <w:trHeight w:val="390"/>
          <w:jc w:val="center"/>
        </w:trPr>
        <w:tc>
          <w:tcPr>
            <w:tcW w:w="1408" w:type="dxa"/>
            <w:vMerge/>
            <w:shd w:val="clear" w:color="auto" w:fill="auto"/>
            <w:tcMar>
              <w:top w:w="100" w:type="dxa"/>
              <w:left w:w="100" w:type="dxa"/>
              <w:bottom w:w="100" w:type="dxa"/>
              <w:right w:w="100" w:type="dxa"/>
            </w:tcMar>
          </w:tcPr>
          <w:p w14:paraId="5B4A85BF" w14:textId="77777777" w:rsidR="00532C02" w:rsidRPr="001A5CAB" w:rsidRDefault="00532C02" w:rsidP="00974BDA">
            <w:pPr>
              <w:widowControl w:val="0"/>
              <w:pBdr>
                <w:top w:val="nil"/>
                <w:left w:val="nil"/>
                <w:bottom w:val="nil"/>
                <w:right w:val="nil"/>
                <w:between w:val="nil"/>
              </w:pBdr>
              <w:spacing w:line="276" w:lineRule="auto"/>
              <w:rPr>
                <w:rFonts w:eastAsia="Helvetica Neue" w:cs="Helvetica Neue"/>
                <w:b/>
                <w:szCs w:val="19"/>
              </w:rPr>
            </w:pPr>
          </w:p>
        </w:tc>
        <w:tc>
          <w:tcPr>
            <w:tcW w:w="2126" w:type="dxa"/>
            <w:vMerge/>
            <w:shd w:val="clear" w:color="auto" w:fill="auto"/>
            <w:tcMar>
              <w:top w:w="100" w:type="dxa"/>
              <w:left w:w="100" w:type="dxa"/>
              <w:bottom w:w="100" w:type="dxa"/>
              <w:right w:w="100" w:type="dxa"/>
            </w:tcMar>
          </w:tcPr>
          <w:p w14:paraId="54F9E9B2" w14:textId="77777777" w:rsidR="00532C02" w:rsidRPr="00852E3F" w:rsidRDefault="00532C02" w:rsidP="00974BDA">
            <w:pPr>
              <w:widowControl w:val="0"/>
              <w:pBdr>
                <w:top w:val="nil"/>
                <w:left w:val="nil"/>
                <w:bottom w:val="nil"/>
                <w:right w:val="nil"/>
                <w:between w:val="nil"/>
              </w:pBdr>
              <w:spacing w:line="276" w:lineRule="auto"/>
              <w:rPr>
                <w:rFonts w:eastAsia="Helvetica Neue" w:cs="Helvetica Neue"/>
                <w:b/>
                <w:szCs w:val="19"/>
              </w:rPr>
            </w:pPr>
          </w:p>
        </w:tc>
        <w:tc>
          <w:tcPr>
            <w:tcW w:w="1418" w:type="dxa"/>
            <w:gridSpan w:val="2"/>
            <w:shd w:val="clear" w:color="auto" w:fill="auto"/>
            <w:tcMar>
              <w:top w:w="100" w:type="dxa"/>
              <w:left w:w="100" w:type="dxa"/>
              <w:bottom w:w="100" w:type="dxa"/>
              <w:right w:w="100" w:type="dxa"/>
            </w:tcMar>
            <w:vAlign w:val="center"/>
          </w:tcPr>
          <w:p w14:paraId="12872E6E" w14:textId="77777777" w:rsidR="00532C02" w:rsidRDefault="00532C02" w:rsidP="00974BDA">
            <w:pPr>
              <w:widowControl w:val="0"/>
              <w:pBdr>
                <w:top w:val="nil"/>
                <w:left w:val="nil"/>
                <w:bottom w:val="nil"/>
                <w:right w:val="nil"/>
                <w:between w:val="nil"/>
              </w:pBdr>
              <w:jc w:val="center"/>
              <w:rPr>
                <w:rFonts w:eastAsia="Helvetica Neue" w:cs="Helvetica Neue"/>
                <w:b/>
                <w:szCs w:val="19"/>
                <w:highlight w:val="green"/>
              </w:rPr>
            </w:pPr>
            <w:r>
              <w:rPr>
                <w:rFonts w:eastAsia="Helvetica Neue" w:cs="Helvetica Neue"/>
                <w:b/>
                <w:szCs w:val="19"/>
                <w:highlight w:val="green"/>
              </w:rPr>
              <w:t>Secteur</w:t>
            </w:r>
          </w:p>
          <w:p w14:paraId="670CE07D" w14:textId="77777777" w:rsidR="00532C02" w:rsidRPr="00852E3F" w:rsidRDefault="00532C02" w:rsidP="00974BDA">
            <w:pPr>
              <w:widowControl w:val="0"/>
              <w:pBdr>
                <w:top w:val="nil"/>
                <w:left w:val="nil"/>
                <w:bottom w:val="nil"/>
                <w:right w:val="nil"/>
                <w:between w:val="nil"/>
              </w:pBdr>
              <w:jc w:val="center"/>
              <w:rPr>
                <w:rFonts w:eastAsia="Helvetica Neue" w:cs="Helvetica Neue"/>
                <w:b/>
                <w:szCs w:val="19"/>
                <w:highlight w:val="green"/>
              </w:rPr>
            </w:pPr>
            <w:r>
              <w:rPr>
                <w:rFonts w:eastAsia="Helvetica Neue" w:cs="Helvetica Neue"/>
                <w:b/>
                <w:szCs w:val="19"/>
                <w:highlight w:val="green"/>
              </w:rPr>
              <w:t>« gare</w:t>
            </w:r>
            <w:r>
              <w:rPr>
                <w:rFonts w:eastAsia="Helvetica Neue" w:cs="Helvetica 45 Light"/>
                <w:b/>
                <w:szCs w:val="19"/>
                <w:highlight w:val="green"/>
              </w:rPr>
              <w:t> »</w:t>
            </w:r>
          </w:p>
        </w:tc>
        <w:tc>
          <w:tcPr>
            <w:tcW w:w="1417" w:type="dxa"/>
            <w:gridSpan w:val="2"/>
          </w:tcPr>
          <w:p w14:paraId="740D13E4" w14:textId="77777777" w:rsidR="00532C02" w:rsidRDefault="00532C02" w:rsidP="00974BDA">
            <w:pPr>
              <w:widowControl w:val="0"/>
              <w:pBdr>
                <w:top w:val="nil"/>
                <w:left w:val="nil"/>
                <w:bottom w:val="nil"/>
                <w:right w:val="nil"/>
                <w:between w:val="nil"/>
              </w:pBdr>
              <w:jc w:val="center"/>
              <w:rPr>
                <w:rFonts w:eastAsia="Helvetica Neue" w:cs="Helvetica Neue"/>
                <w:b/>
                <w:szCs w:val="19"/>
                <w:highlight w:val="green"/>
              </w:rPr>
            </w:pPr>
            <w:r>
              <w:rPr>
                <w:rFonts w:eastAsia="Helvetica Neue" w:cs="Helvetica Neue"/>
                <w:b/>
                <w:szCs w:val="19"/>
                <w:highlight w:val="green"/>
              </w:rPr>
              <w:t>Secteur</w:t>
            </w:r>
          </w:p>
          <w:p w14:paraId="34C11507" w14:textId="77777777" w:rsidR="00532C02" w:rsidRDefault="00532C02" w:rsidP="00974BDA">
            <w:pPr>
              <w:widowControl w:val="0"/>
              <w:jc w:val="center"/>
              <w:rPr>
                <w:rFonts w:eastAsia="Helvetica Neue" w:cs="Helvetica Neue"/>
                <w:b/>
                <w:szCs w:val="19"/>
                <w:highlight w:val="green"/>
              </w:rPr>
            </w:pPr>
            <w:r>
              <w:rPr>
                <w:rFonts w:eastAsia="Helvetica Neue" w:cs="Helvetica Neue"/>
                <w:b/>
                <w:szCs w:val="19"/>
                <w:highlight w:val="green"/>
              </w:rPr>
              <w:t>« centre</w:t>
            </w:r>
            <w:r>
              <w:rPr>
                <w:rFonts w:eastAsia="Helvetica Neue" w:cs="Helvetica 45 Light"/>
                <w:b/>
                <w:szCs w:val="19"/>
                <w:highlight w:val="green"/>
              </w:rPr>
              <w:t> »</w:t>
            </w:r>
          </w:p>
        </w:tc>
        <w:tc>
          <w:tcPr>
            <w:tcW w:w="1417" w:type="dxa"/>
            <w:gridSpan w:val="2"/>
            <w:shd w:val="clear" w:color="auto" w:fill="auto"/>
            <w:tcMar>
              <w:top w:w="100" w:type="dxa"/>
              <w:left w:w="100" w:type="dxa"/>
              <w:bottom w:w="100" w:type="dxa"/>
              <w:right w:w="100" w:type="dxa"/>
            </w:tcMar>
            <w:vAlign w:val="center"/>
          </w:tcPr>
          <w:p w14:paraId="6E50897A" w14:textId="77777777" w:rsidR="00532C02" w:rsidRDefault="00532C02" w:rsidP="00974BDA">
            <w:pPr>
              <w:widowControl w:val="0"/>
              <w:jc w:val="center"/>
              <w:rPr>
                <w:rFonts w:eastAsia="Helvetica Neue" w:cs="Helvetica Neue"/>
                <w:b/>
                <w:szCs w:val="19"/>
                <w:highlight w:val="green"/>
              </w:rPr>
            </w:pPr>
            <w:r>
              <w:rPr>
                <w:rFonts w:eastAsia="Helvetica Neue" w:cs="Helvetica Neue"/>
                <w:b/>
                <w:szCs w:val="19"/>
                <w:highlight w:val="green"/>
              </w:rPr>
              <w:t>Secteur</w:t>
            </w:r>
          </w:p>
          <w:p w14:paraId="22B708A8" w14:textId="77777777" w:rsidR="00532C02" w:rsidRPr="00852E3F" w:rsidRDefault="00532C02" w:rsidP="00974BDA">
            <w:pPr>
              <w:widowControl w:val="0"/>
              <w:jc w:val="center"/>
              <w:rPr>
                <w:rFonts w:eastAsia="Helvetica Neue" w:cs="Helvetica Neue"/>
                <w:b/>
                <w:szCs w:val="19"/>
                <w:highlight w:val="green"/>
              </w:rPr>
            </w:pPr>
            <w:r>
              <w:rPr>
                <w:rFonts w:eastAsia="Helvetica Neue" w:cs="Helvetica Neue"/>
                <w:b/>
                <w:szCs w:val="19"/>
                <w:highlight w:val="green"/>
              </w:rPr>
              <w:t>« </w:t>
            </w:r>
            <w:r w:rsidRPr="00852E3F">
              <w:rPr>
                <w:rFonts w:eastAsia="Helvetica Neue" w:cs="Helvetica Neue"/>
                <w:b/>
                <w:szCs w:val="19"/>
                <w:highlight w:val="green"/>
              </w:rPr>
              <w:t>suburbain</w:t>
            </w:r>
            <w:r>
              <w:rPr>
                <w:rFonts w:eastAsia="Helvetica Neue" w:cs="Helvetica Neue"/>
                <w:b/>
                <w:szCs w:val="19"/>
                <w:highlight w:val="green"/>
              </w:rPr>
              <w:t> »</w:t>
            </w:r>
          </w:p>
        </w:tc>
        <w:tc>
          <w:tcPr>
            <w:tcW w:w="1560" w:type="dxa"/>
            <w:gridSpan w:val="2"/>
            <w:shd w:val="clear" w:color="auto" w:fill="auto"/>
            <w:tcMar>
              <w:top w:w="100" w:type="dxa"/>
              <w:left w:w="100" w:type="dxa"/>
              <w:bottom w:w="100" w:type="dxa"/>
              <w:right w:w="100" w:type="dxa"/>
            </w:tcMar>
            <w:vAlign w:val="center"/>
          </w:tcPr>
          <w:p w14:paraId="62D3C7E8" w14:textId="77777777" w:rsidR="00532C02" w:rsidRDefault="00532C02" w:rsidP="00974BDA">
            <w:pPr>
              <w:widowControl w:val="0"/>
              <w:jc w:val="center"/>
              <w:rPr>
                <w:rFonts w:eastAsia="Helvetica Neue" w:cs="Helvetica Neue"/>
                <w:b/>
                <w:szCs w:val="19"/>
                <w:highlight w:val="green"/>
              </w:rPr>
            </w:pPr>
            <w:r>
              <w:rPr>
                <w:rFonts w:eastAsia="Helvetica Neue" w:cs="Helvetica Neue"/>
                <w:b/>
                <w:szCs w:val="19"/>
                <w:highlight w:val="green"/>
              </w:rPr>
              <w:t>Secteur</w:t>
            </w:r>
          </w:p>
          <w:p w14:paraId="71A8F5EE" w14:textId="77777777" w:rsidR="00532C02" w:rsidRPr="00852E3F" w:rsidRDefault="00532C02" w:rsidP="00974BDA">
            <w:pPr>
              <w:widowControl w:val="0"/>
              <w:jc w:val="center"/>
              <w:rPr>
                <w:rFonts w:eastAsia="Helvetica Neue" w:cs="Helvetica Neue"/>
                <w:b/>
                <w:szCs w:val="19"/>
                <w:highlight w:val="green"/>
              </w:rPr>
            </w:pPr>
            <w:r>
              <w:rPr>
                <w:rFonts w:eastAsia="Helvetica Neue" w:cs="Helvetica Neue"/>
                <w:b/>
                <w:szCs w:val="19"/>
                <w:highlight w:val="green"/>
              </w:rPr>
              <w:t>« </w:t>
            </w:r>
            <w:r w:rsidRPr="00852E3F">
              <w:rPr>
                <w:rFonts w:eastAsia="Helvetica Neue" w:cs="Helvetica Neue"/>
                <w:b/>
                <w:szCs w:val="19"/>
                <w:highlight w:val="green"/>
              </w:rPr>
              <w:t>périphérie</w:t>
            </w:r>
            <w:r>
              <w:rPr>
                <w:rFonts w:eastAsia="Helvetica Neue" w:cs="Helvetica Neue"/>
                <w:b/>
                <w:szCs w:val="19"/>
                <w:highlight w:val="green"/>
              </w:rPr>
              <w:t> »</w:t>
            </w:r>
          </w:p>
        </w:tc>
      </w:tr>
      <w:tr w:rsidR="00532C02" w:rsidRPr="00852E3F" w14:paraId="12C393C8" w14:textId="77777777" w:rsidTr="00974BDA">
        <w:trPr>
          <w:trHeight w:val="390"/>
          <w:jc w:val="center"/>
        </w:trPr>
        <w:tc>
          <w:tcPr>
            <w:tcW w:w="1408" w:type="dxa"/>
            <w:vMerge/>
            <w:shd w:val="clear" w:color="auto" w:fill="auto"/>
            <w:tcMar>
              <w:top w:w="100" w:type="dxa"/>
              <w:left w:w="100" w:type="dxa"/>
              <w:bottom w:w="100" w:type="dxa"/>
              <w:right w:w="100" w:type="dxa"/>
            </w:tcMar>
          </w:tcPr>
          <w:p w14:paraId="79B93497" w14:textId="77777777" w:rsidR="00532C02" w:rsidRPr="001A5CAB" w:rsidRDefault="00532C02" w:rsidP="00974BDA">
            <w:pPr>
              <w:widowControl w:val="0"/>
              <w:pBdr>
                <w:top w:val="nil"/>
                <w:left w:val="nil"/>
                <w:bottom w:val="nil"/>
                <w:right w:val="nil"/>
                <w:between w:val="nil"/>
              </w:pBdr>
              <w:spacing w:line="276" w:lineRule="auto"/>
              <w:rPr>
                <w:rFonts w:eastAsia="Helvetica Neue" w:cs="Helvetica Neue"/>
                <w:b/>
                <w:szCs w:val="19"/>
                <w:highlight w:val="green"/>
              </w:rPr>
            </w:pPr>
          </w:p>
        </w:tc>
        <w:tc>
          <w:tcPr>
            <w:tcW w:w="2126" w:type="dxa"/>
            <w:vMerge/>
            <w:shd w:val="clear" w:color="auto" w:fill="auto"/>
            <w:tcMar>
              <w:top w:w="100" w:type="dxa"/>
              <w:left w:w="100" w:type="dxa"/>
              <w:bottom w:w="100" w:type="dxa"/>
              <w:right w:w="100" w:type="dxa"/>
            </w:tcMar>
          </w:tcPr>
          <w:p w14:paraId="512373D3" w14:textId="77777777" w:rsidR="00532C02" w:rsidRPr="00852E3F" w:rsidRDefault="00532C02" w:rsidP="00974BDA">
            <w:pPr>
              <w:widowControl w:val="0"/>
              <w:pBdr>
                <w:top w:val="nil"/>
                <w:left w:val="nil"/>
                <w:bottom w:val="nil"/>
                <w:right w:val="nil"/>
                <w:between w:val="nil"/>
              </w:pBdr>
              <w:spacing w:line="276" w:lineRule="auto"/>
              <w:rPr>
                <w:rFonts w:eastAsia="Helvetica Neue" w:cs="Helvetica Neue"/>
                <w:b/>
                <w:szCs w:val="19"/>
                <w:highlight w:val="green"/>
              </w:rPr>
            </w:pPr>
          </w:p>
        </w:tc>
        <w:tc>
          <w:tcPr>
            <w:tcW w:w="703" w:type="dxa"/>
            <w:shd w:val="clear" w:color="auto" w:fill="auto"/>
            <w:tcMar>
              <w:top w:w="100" w:type="dxa"/>
              <w:left w:w="100" w:type="dxa"/>
              <w:bottom w:w="100" w:type="dxa"/>
              <w:right w:w="100" w:type="dxa"/>
            </w:tcMar>
            <w:vAlign w:val="center"/>
          </w:tcPr>
          <w:p w14:paraId="581F3FF1" w14:textId="77777777" w:rsidR="00532C02" w:rsidRPr="00852E3F" w:rsidRDefault="00532C02" w:rsidP="00974BDA">
            <w:pPr>
              <w:widowControl w:val="0"/>
              <w:pBdr>
                <w:top w:val="nil"/>
                <w:left w:val="nil"/>
                <w:bottom w:val="nil"/>
                <w:right w:val="nil"/>
                <w:between w:val="nil"/>
              </w:pBdr>
              <w:jc w:val="center"/>
              <w:rPr>
                <w:szCs w:val="19"/>
              </w:rPr>
            </w:pPr>
            <w:r w:rsidRPr="00852E3F">
              <w:rPr>
                <w:szCs w:val="19"/>
              </w:rPr>
              <w:t>min.</w:t>
            </w:r>
          </w:p>
        </w:tc>
        <w:tc>
          <w:tcPr>
            <w:tcW w:w="715" w:type="dxa"/>
            <w:shd w:val="clear" w:color="auto" w:fill="auto"/>
            <w:tcMar>
              <w:top w:w="100" w:type="dxa"/>
              <w:left w:w="100" w:type="dxa"/>
              <w:bottom w:w="100" w:type="dxa"/>
              <w:right w:w="100" w:type="dxa"/>
            </w:tcMar>
            <w:vAlign w:val="center"/>
          </w:tcPr>
          <w:p w14:paraId="41E4D5AB" w14:textId="77777777" w:rsidR="00532C02" w:rsidRPr="00852E3F" w:rsidRDefault="00532C02" w:rsidP="00974BDA">
            <w:pPr>
              <w:widowControl w:val="0"/>
              <w:jc w:val="center"/>
              <w:rPr>
                <w:szCs w:val="19"/>
              </w:rPr>
            </w:pPr>
            <w:r w:rsidRPr="00852E3F">
              <w:rPr>
                <w:szCs w:val="19"/>
              </w:rPr>
              <w:t>max.</w:t>
            </w:r>
          </w:p>
        </w:tc>
        <w:tc>
          <w:tcPr>
            <w:tcW w:w="708" w:type="dxa"/>
            <w:vAlign w:val="center"/>
          </w:tcPr>
          <w:p w14:paraId="02E5E827" w14:textId="77777777" w:rsidR="00532C02" w:rsidRPr="00852E3F" w:rsidRDefault="00532C02" w:rsidP="00974BDA">
            <w:pPr>
              <w:widowControl w:val="0"/>
              <w:jc w:val="center"/>
              <w:rPr>
                <w:szCs w:val="19"/>
              </w:rPr>
            </w:pPr>
            <w:r w:rsidRPr="00852E3F">
              <w:rPr>
                <w:szCs w:val="19"/>
              </w:rPr>
              <w:t>min.</w:t>
            </w:r>
          </w:p>
        </w:tc>
        <w:tc>
          <w:tcPr>
            <w:tcW w:w="709" w:type="dxa"/>
            <w:vAlign w:val="center"/>
          </w:tcPr>
          <w:p w14:paraId="4907CA47" w14:textId="77777777" w:rsidR="00532C02" w:rsidRPr="00852E3F" w:rsidRDefault="00532C02" w:rsidP="00974BDA">
            <w:pPr>
              <w:widowControl w:val="0"/>
              <w:jc w:val="center"/>
              <w:rPr>
                <w:szCs w:val="19"/>
              </w:rPr>
            </w:pPr>
            <w:r w:rsidRPr="00852E3F">
              <w:rPr>
                <w:szCs w:val="19"/>
              </w:rPr>
              <w:t>max.</w:t>
            </w:r>
          </w:p>
        </w:tc>
        <w:tc>
          <w:tcPr>
            <w:tcW w:w="709" w:type="dxa"/>
            <w:shd w:val="clear" w:color="auto" w:fill="auto"/>
            <w:tcMar>
              <w:top w:w="100" w:type="dxa"/>
              <w:left w:w="100" w:type="dxa"/>
              <w:bottom w:w="100" w:type="dxa"/>
              <w:right w:w="100" w:type="dxa"/>
            </w:tcMar>
            <w:vAlign w:val="center"/>
          </w:tcPr>
          <w:p w14:paraId="4AE7E2C8" w14:textId="77777777" w:rsidR="00532C02" w:rsidRPr="00852E3F" w:rsidRDefault="00532C02" w:rsidP="00974BDA">
            <w:pPr>
              <w:widowControl w:val="0"/>
              <w:jc w:val="center"/>
              <w:rPr>
                <w:szCs w:val="19"/>
              </w:rPr>
            </w:pPr>
            <w:r w:rsidRPr="00852E3F">
              <w:rPr>
                <w:szCs w:val="19"/>
              </w:rPr>
              <w:t>min.</w:t>
            </w:r>
          </w:p>
        </w:tc>
        <w:tc>
          <w:tcPr>
            <w:tcW w:w="708" w:type="dxa"/>
            <w:shd w:val="clear" w:color="auto" w:fill="auto"/>
            <w:tcMar>
              <w:top w:w="100" w:type="dxa"/>
              <w:left w:w="100" w:type="dxa"/>
              <w:bottom w:w="100" w:type="dxa"/>
              <w:right w:w="100" w:type="dxa"/>
            </w:tcMar>
            <w:vAlign w:val="center"/>
          </w:tcPr>
          <w:p w14:paraId="3CF3ED18" w14:textId="77777777" w:rsidR="00532C02" w:rsidRPr="00852E3F" w:rsidRDefault="00532C02" w:rsidP="00974BDA">
            <w:pPr>
              <w:widowControl w:val="0"/>
              <w:jc w:val="center"/>
              <w:rPr>
                <w:szCs w:val="19"/>
              </w:rPr>
            </w:pPr>
            <w:r w:rsidRPr="00852E3F">
              <w:rPr>
                <w:szCs w:val="19"/>
              </w:rPr>
              <w:t>max.</w:t>
            </w:r>
          </w:p>
        </w:tc>
        <w:tc>
          <w:tcPr>
            <w:tcW w:w="851" w:type="dxa"/>
            <w:shd w:val="clear" w:color="auto" w:fill="auto"/>
            <w:tcMar>
              <w:top w:w="100" w:type="dxa"/>
              <w:left w:w="100" w:type="dxa"/>
              <w:bottom w:w="100" w:type="dxa"/>
              <w:right w:w="100" w:type="dxa"/>
            </w:tcMar>
            <w:vAlign w:val="center"/>
          </w:tcPr>
          <w:p w14:paraId="74DB94C5" w14:textId="77777777" w:rsidR="00532C02" w:rsidRPr="00852E3F" w:rsidRDefault="00532C02" w:rsidP="00974BDA">
            <w:pPr>
              <w:widowControl w:val="0"/>
              <w:jc w:val="center"/>
              <w:rPr>
                <w:szCs w:val="19"/>
              </w:rPr>
            </w:pPr>
            <w:r w:rsidRPr="00852E3F">
              <w:rPr>
                <w:szCs w:val="19"/>
              </w:rPr>
              <w:t>min.</w:t>
            </w:r>
          </w:p>
        </w:tc>
        <w:tc>
          <w:tcPr>
            <w:tcW w:w="709" w:type="dxa"/>
            <w:shd w:val="clear" w:color="auto" w:fill="auto"/>
            <w:tcMar>
              <w:top w:w="100" w:type="dxa"/>
              <w:left w:w="100" w:type="dxa"/>
              <w:bottom w:w="100" w:type="dxa"/>
              <w:right w:w="100" w:type="dxa"/>
            </w:tcMar>
            <w:vAlign w:val="center"/>
          </w:tcPr>
          <w:p w14:paraId="26E74EB7" w14:textId="77777777" w:rsidR="00532C02" w:rsidRPr="00852E3F" w:rsidRDefault="00532C02" w:rsidP="00974BDA">
            <w:pPr>
              <w:widowControl w:val="0"/>
              <w:jc w:val="center"/>
              <w:rPr>
                <w:szCs w:val="19"/>
              </w:rPr>
            </w:pPr>
            <w:r w:rsidRPr="00852E3F">
              <w:rPr>
                <w:szCs w:val="19"/>
              </w:rPr>
              <w:t>max.</w:t>
            </w:r>
          </w:p>
        </w:tc>
      </w:tr>
      <w:tr w:rsidR="00532C02" w:rsidRPr="00852E3F" w14:paraId="2B4679A4" w14:textId="77777777" w:rsidTr="00974BDA">
        <w:trPr>
          <w:jc w:val="center"/>
        </w:trPr>
        <w:tc>
          <w:tcPr>
            <w:tcW w:w="1408" w:type="dxa"/>
            <w:shd w:val="clear" w:color="auto" w:fill="auto"/>
            <w:tcMar>
              <w:top w:w="100" w:type="dxa"/>
              <w:left w:w="100" w:type="dxa"/>
              <w:bottom w:w="100" w:type="dxa"/>
              <w:right w:w="100" w:type="dxa"/>
            </w:tcMar>
            <w:vAlign w:val="center"/>
          </w:tcPr>
          <w:p w14:paraId="74091634" w14:textId="77777777" w:rsidR="00532C02" w:rsidRPr="001A5CAB" w:rsidRDefault="00532C02" w:rsidP="00974BDA">
            <w:pPr>
              <w:widowControl w:val="0"/>
              <w:rPr>
                <w:rFonts w:eastAsia="Helvetica Neue" w:cs="Helvetica Neue"/>
                <w:b/>
                <w:szCs w:val="19"/>
              </w:rPr>
            </w:pPr>
            <w:r w:rsidRPr="001A5CAB">
              <w:rPr>
                <w:rFonts w:eastAsia="Helvetica Neue" w:cs="Helvetica Neue"/>
                <w:b/>
                <w:szCs w:val="19"/>
              </w:rPr>
              <w:t>Logement</w:t>
            </w:r>
          </w:p>
          <w:p w14:paraId="1BA5ABB9" w14:textId="77777777" w:rsidR="00532C02" w:rsidRPr="001A5CAB" w:rsidRDefault="00532C02" w:rsidP="00974BDA">
            <w:pPr>
              <w:widowControl w:val="0"/>
              <w:rPr>
                <w:rFonts w:eastAsia="Helvetica Neue" w:cs="Helvetica Neue"/>
                <w:b/>
                <w:szCs w:val="19"/>
              </w:rPr>
            </w:pPr>
            <w:r w:rsidRPr="001A5CAB">
              <w:rPr>
                <w:rFonts w:eastAsia="Helvetica Neue" w:cs="Helvetica Neue"/>
                <w:b/>
                <w:szCs w:val="19"/>
              </w:rPr>
              <w:t>habitants</w:t>
            </w:r>
          </w:p>
        </w:tc>
        <w:tc>
          <w:tcPr>
            <w:tcW w:w="2126" w:type="dxa"/>
            <w:shd w:val="clear" w:color="auto" w:fill="auto"/>
            <w:tcMar>
              <w:top w:w="100" w:type="dxa"/>
              <w:left w:w="100" w:type="dxa"/>
              <w:bottom w:w="100" w:type="dxa"/>
              <w:right w:w="100" w:type="dxa"/>
            </w:tcMar>
            <w:vAlign w:val="center"/>
          </w:tcPr>
          <w:p w14:paraId="3DB9A229" w14:textId="77777777" w:rsidR="00532C02" w:rsidRPr="00852E3F" w:rsidRDefault="00532C02" w:rsidP="00974BDA">
            <w:pPr>
              <w:widowControl w:val="0"/>
              <w:rPr>
                <w:rFonts w:eastAsia="Helvetica Neue" w:cs="Helvetica Neue"/>
                <w:b/>
                <w:szCs w:val="19"/>
              </w:rPr>
            </w:pPr>
            <w:r w:rsidRPr="00852E3F">
              <w:rPr>
                <w:szCs w:val="19"/>
              </w:rPr>
              <w:t>1 case pour 100 m</w:t>
            </w:r>
            <w:r w:rsidRPr="00852E3F">
              <w:rPr>
                <w:szCs w:val="19"/>
                <w:vertAlign w:val="superscript"/>
              </w:rPr>
              <w:t>2</w:t>
            </w:r>
            <w:r w:rsidRPr="00852E3F">
              <w:rPr>
                <w:szCs w:val="19"/>
              </w:rPr>
              <w:t xml:space="preserve"> de SBP</w:t>
            </w:r>
          </w:p>
        </w:tc>
        <w:tc>
          <w:tcPr>
            <w:tcW w:w="703" w:type="dxa"/>
            <w:shd w:val="clear" w:color="auto" w:fill="auto"/>
            <w:tcMar>
              <w:top w:w="100" w:type="dxa"/>
              <w:left w:w="100" w:type="dxa"/>
              <w:bottom w:w="100" w:type="dxa"/>
              <w:right w:w="100" w:type="dxa"/>
            </w:tcMar>
            <w:vAlign w:val="center"/>
          </w:tcPr>
          <w:p w14:paraId="158EE374"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4</w:t>
            </w:r>
            <w:r w:rsidRPr="00852E3F">
              <w:rPr>
                <w:szCs w:val="19"/>
                <w:highlight w:val="green"/>
              </w:rPr>
              <w:t>0%</w:t>
            </w:r>
          </w:p>
        </w:tc>
        <w:tc>
          <w:tcPr>
            <w:tcW w:w="715" w:type="dxa"/>
            <w:shd w:val="clear" w:color="auto" w:fill="auto"/>
            <w:tcMar>
              <w:top w:w="100" w:type="dxa"/>
              <w:left w:w="100" w:type="dxa"/>
              <w:bottom w:w="100" w:type="dxa"/>
              <w:right w:w="100" w:type="dxa"/>
            </w:tcMar>
            <w:vAlign w:val="center"/>
          </w:tcPr>
          <w:p w14:paraId="25B8837A" w14:textId="77777777" w:rsidR="00532C02" w:rsidRPr="00852E3F" w:rsidRDefault="00532C02" w:rsidP="00974BDA">
            <w:pPr>
              <w:widowControl w:val="0"/>
              <w:jc w:val="center"/>
              <w:rPr>
                <w:szCs w:val="19"/>
                <w:highlight w:val="green"/>
              </w:rPr>
            </w:pPr>
            <w:r>
              <w:rPr>
                <w:szCs w:val="19"/>
                <w:highlight w:val="green"/>
              </w:rPr>
              <w:t>6</w:t>
            </w:r>
            <w:r w:rsidRPr="00852E3F">
              <w:rPr>
                <w:szCs w:val="19"/>
                <w:highlight w:val="green"/>
              </w:rPr>
              <w:t>0%</w:t>
            </w:r>
          </w:p>
        </w:tc>
        <w:tc>
          <w:tcPr>
            <w:tcW w:w="708" w:type="dxa"/>
            <w:vAlign w:val="center"/>
          </w:tcPr>
          <w:p w14:paraId="3298AAD9" w14:textId="77777777" w:rsidR="00532C02" w:rsidRPr="00852E3F" w:rsidRDefault="00532C02" w:rsidP="00974BDA">
            <w:pPr>
              <w:widowControl w:val="0"/>
              <w:jc w:val="center"/>
              <w:rPr>
                <w:szCs w:val="19"/>
                <w:highlight w:val="green"/>
              </w:rPr>
            </w:pPr>
            <w:r>
              <w:rPr>
                <w:szCs w:val="19"/>
                <w:highlight w:val="green"/>
              </w:rPr>
              <w:t>5</w:t>
            </w:r>
            <w:r w:rsidRPr="00852E3F">
              <w:rPr>
                <w:szCs w:val="19"/>
                <w:highlight w:val="green"/>
              </w:rPr>
              <w:t>0%</w:t>
            </w:r>
          </w:p>
        </w:tc>
        <w:tc>
          <w:tcPr>
            <w:tcW w:w="709" w:type="dxa"/>
            <w:vAlign w:val="center"/>
          </w:tcPr>
          <w:p w14:paraId="25DF2445" w14:textId="77777777" w:rsidR="00532C02" w:rsidRPr="00852E3F" w:rsidRDefault="00532C02" w:rsidP="00974BDA">
            <w:pPr>
              <w:widowControl w:val="0"/>
              <w:jc w:val="center"/>
              <w:rPr>
                <w:szCs w:val="19"/>
                <w:highlight w:val="green"/>
              </w:rPr>
            </w:pPr>
            <w:r>
              <w:rPr>
                <w:szCs w:val="19"/>
                <w:highlight w:val="green"/>
              </w:rPr>
              <w:t>8</w:t>
            </w:r>
            <w:r w:rsidRPr="00852E3F">
              <w:rPr>
                <w:szCs w:val="19"/>
                <w:highlight w:val="green"/>
              </w:rPr>
              <w:t>0%</w:t>
            </w:r>
          </w:p>
        </w:tc>
        <w:tc>
          <w:tcPr>
            <w:tcW w:w="709" w:type="dxa"/>
            <w:shd w:val="clear" w:color="auto" w:fill="auto"/>
            <w:tcMar>
              <w:top w:w="100" w:type="dxa"/>
              <w:left w:w="100" w:type="dxa"/>
              <w:bottom w:w="100" w:type="dxa"/>
              <w:right w:w="100" w:type="dxa"/>
            </w:tcMar>
            <w:vAlign w:val="center"/>
          </w:tcPr>
          <w:p w14:paraId="7C7F31F2" w14:textId="77777777" w:rsidR="00532C02" w:rsidRPr="00852E3F" w:rsidRDefault="00532C02" w:rsidP="00974BDA">
            <w:pPr>
              <w:widowControl w:val="0"/>
              <w:jc w:val="center"/>
              <w:rPr>
                <w:szCs w:val="19"/>
                <w:highlight w:val="green"/>
              </w:rPr>
            </w:pPr>
            <w:r>
              <w:rPr>
                <w:szCs w:val="19"/>
                <w:highlight w:val="green"/>
              </w:rPr>
              <w:t>7</w:t>
            </w:r>
            <w:r w:rsidRPr="00852E3F">
              <w:rPr>
                <w:szCs w:val="19"/>
                <w:highlight w:val="green"/>
              </w:rPr>
              <w:t>0%</w:t>
            </w:r>
          </w:p>
        </w:tc>
        <w:tc>
          <w:tcPr>
            <w:tcW w:w="708" w:type="dxa"/>
            <w:shd w:val="clear" w:color="auto" w:fill="auto"/>
            <w:tcMar>
              <w:top w:w="100" w:type="dxa"/>
              <w:left w:w="100" w:type="dxa"/>
              <w:bottom w:w="100" w:type="dxa"/>
              <w:right w:w="100" w:type="dxa"/>
            </w:tcMar>
            <w:vAlign w:val="center"/>
          </w:tcPr>
          <w:p w14:paraId="36AC0AAC" w14:textId="77777777" w:rsidR="00532C02" w:rsidRPr="00852E3F" w:rsidRDefault="00532C02" w:rsidP="00974BDA">
            <w:pPr>
              <w:widowControl w:val="0"/>
              <w:jc w:val="center"/>
              <w:rPr>
                <w:szCs w:val="19"/>
                <w:highlight w:val="green"/>
              </w:rPr>
            </w:pPr>
            <w:r>
              <w:rPr>
                <w:szCs w:val="19"/>
                <w:highlight w:val="green"/>
              </w:rPr>
              <w:t>9</w:t>
            </w:r>
            <w:r w:rsidRPr="00852E3F">
              <w:rPr>
                <w:szCs w:val="19"/>
                <w:highlight w:val="green"/>
              </w:rPr>
              <w:t>0%</w:t>
            </w:r>
          </w:p>
        </w:tc>
        <w:tc>
          <w:tcPr>
            <w:tcW w:w="851" w:type="dxa"/>
            <w:shd w:val="clear" w:color="auto" w:fill="auto"/>
            <w:tcMar>
              <w:top w:w="100" w:type="dxa"/>
              <w:left w:w="100" w:type="dxa"/>
              <w:bottom w:w="100" w:type="dxa"/>
              <w:right w:w="100" w:type="dxa"/>
            </w:tcMar>
            <w:vAlign w:val="center"/>
          </w:tcPr>
          <w:p w14:paraId="012248C5" w14:textId="77777777" w:rsidR="00532C02" w:rsidRPr="00852E3F" w:rsidRDefault="00532C02" w:rsidP="00974BDA">
            <w:pPr>
              <w:widowControl w:val="0"/>
              <w:jc w:val="center"/>
              <w:rPr>
                <w:szCs w:val="19"/>
                <w:highlight w:val="green"/>
              </w:rPr>
            </w:pPr>
            <w:r>
              <w:rPr>
                <w:szCs w:val="19"/>
                <w:highlight w:val="green"/>
              </w:rPr>
              <w:t>90</w:t>
            </w:r>
            <w:r w:rsidRPr="00852E3F">
              <w:rPr>
                <w:szCs w:val="19"/>
                <w:highlight w:val="green"/>
              </w:rPr>
              <w:t>%</w:t>
            </w:r>
          </w:p>
        </w:tc>
        <w:tc>
          <w:tcPr>
            <w:tcW w:w="709" w:type="dxa"/>
            <w:shd w:val="clear" w:color="auto" w:fill="auto"/>
            <w:tcMar>
              <w:top w:w="100" w:type="dxa"/>
              <w:left w:w="100" w:type="dxa"/>
              <w:bottom w:w="100" w:type="dxa"/>
              <w:right w:w="100" w:type="dxa"/>
            </w:tcMar>
            <w:vAlign w:val="center"/>
          </w:tcPr>
          <w:p w14:paraId="1B4E70B4" w14:textId="77777777" w:rsidR="00532C02" w:rsidRPr="00852E3F" w:rsidRDefault="00532C02" w:rsidP="00974BDA">
            <w:pPr>
              <w:widowControl w:val="0"/>
              <w:jc w:val="center"/>
              <w:rPr>
                <w:szCs w:val="19"/>
                <w:highlight w:val="green"/>
              </w:rPr>
            </w:pPr>
            <w:r>
              <w:rPr>
                <w:szCs w:val="19"/>
                <w:highlight w:val="green"/>
              </w:rPr>
              <w:t>100%</w:t>
            </w:r>
          </w:p>
        </w:tc>
      </w:tr>
      <w:tr w:rsidR="00532C02" w:rsidRPr="00852E3F" w14:paraId="168A8372" w14:textId="77777777" w:rsidTr="00974BDA">
        <w:trPr>
          <w:jc w:val="center"/>
        </w:trPr>
        <w:tc>
          <w:tcPr>
            <w:tcW w:w="1408" w:type="dxa"/>
            <w:shd w:val="clear" w:color="auto" w:fill="auto"/>
            <w:tcMar>
              <w:top w:w="100" w:type="dxa"/>
              <w:left w:w="100" w:type="dxa"/>
              <w:bottom w:w="100" w:type="dxa"/>
              <w:right w:w="100" w:type="dxa"/>
            </w:tcMar>
            <w:vAlign w:val="center"/>
          </w:tcPr>
          <w:p w14:paraId="49B55C29" w14:textId="77777777" w:rsidR="00532C02" w:rsidRPr="001A5CAB" w:rsidRDefault="00532C02" w:rsidP="00974BDA">
            <w:pPr>
              <w:widowControl w:val="0"/>
              <w:rPr>
                <w:rFonts w:eastAsia="Helvetica Neue" w:cs="Helvetica Neue"/>
                <w:b/>
                <w:szCs w:val="19"/>
              </w:rPr>
            </w:pPr>
            <w:r w:rsidRPr="001A5CAB">
              <w:rPr>
                <w:rFonts w:eastAsia="Helvetica Neue" w:cs="Helvetica Neue"/>
                <w:b/>
                <w:szCs w:val="19"/>
              </w:rPr>
              <w:t>Logement</w:t>
            </w:r>
          </w:p>
          <w:p w14:paraId="4D9D6F57" w14:textId="77777777" w:rsidR="00532C02" w:rsidRPr="001A5CAB" w:rsidRDefault="00532C02" w:rsidP="00974BDA">
            <w:pPr>
              <w:widowControl w:val="0"/>
              <w:rPr>
                <w:b/>
                <w:szCs w:val="19"/>
                <w:highlight w:val="green"/>
              </w:rPr>
            </w:pPr>
            <w:r w:rsidRPr="001A5CAB">
              <w:rPr>
                <w:rFonts w:eastAsia="Helvetica Neue" w:cs="Helvetica Neue"/>
                <w:b/>
                <w:szCs w:val="19"/>
              </w:rPr>
              <w:t>visiteurs</w:t>
            </w:r>
          </w:p>
        </w:tc>
        <w:tc>
          <w:tcPr>
            <w:tcW w:w="2126" w:type="dxa"/>
            <w:shd w:val="clear" w:color="auto" w:fill="auto"/>
            <w:tcMar>
              <w:top w:w="100" w:type="dxa"/>
              <w:left w:w="100" w:type="dxa"/>
              <w:bottom w:w="100" w:type="dxa"/>
              <w:right w:w="100" w:type="dxa"/>
            </w:tcMar>
            <w:vAlign w:val="center"/>
          </w:tcPr>
          <w:p w14:paraId="2BC5480E" w14:textId="77777777" w:rsidR="00532C02" w:rsidRPr="00852E3F" w:rsidRDefault="00532C02" w:rsidP="00974BDA">
            <w:pPr>
              <w:widowControl w:val="0"/>
              <w:rPr>
                <w:szCs w:val="19"/>
                <w:highlight w:val="green"/>
              </w:rPr>
            </w:pPr>
            <w:r w:rsidRPr="00852E3F">
              <w:rPr>
                <w:szCs w:val="19"/>
              </w:rPr>
              <w:t>0,1 case pour 100 m</w:t>
            </w:r>
            <w:r w:rsidRPr="00852E3F">
              <w:rPr>
                <w:szCs w:val="19"/>
                <w:vertAlign w:val="superscript"/>
              </w:rPr>
              <w:t>2</w:t>
            </w:r>
            <w:r w:rsidRPr="00852E3F">
              <w:rPr>
                <w:szCs w:val="19"/>
              </w:rPr>
              <w:t xml:space="preserve"> de SBP</w:t>
            </w:r>
          </w:p>
        </w:tc>
        <w:tc>
          <w:tcPr>
            <w:tcW w:w="703" w:type="dxa"/>
            <w:shd w:val="clear" w:color="auto" w:fill="auto"/>
            <w:tcMar>
              <w:top w:w="100" w:type="dxa"/>
              <w:left w:w="100" w:type="dxa"/>
              <w:bottom w:w="100" w:type="dxa"/>
              <w:right w:w="100" w:type="dxa"/>
            </w:tcMar>
            <w:vAlign w:val="center"/>
          </w:tcPr>
          <w:p w14:paraId="4A6A06B2"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4</w:t>
            </w:r>
            <w:r w:rsidRPr="00852E3F">
              <w:rPr>
                <w:szCs w:val="19"/>
                <w:highlight w:val="green"/>
              </w:rPr>
              <w:t>0%</w:t>
            </w:r>
          </w:p>
        </w:tc>
        <w:tc>
          <w:tcPr>
            <w:tcW w:w="715" w:type="dxa"/>
            <w:shd w:val="clear" w:color="auto" w:fill="auto"/>
            <w:tcMar>
              <w:top w:w="100" w:type="dxa"/>
              <w:left w:w="100" w:type="dxa"/>
              <w:bottom w:w="100" w:type="dxa"/>
              <w:right w:w="100" w:type="dxa"/>
            </w:tcMar>
            <w:vAlign w:val="center"/>
          </w:tcPr>
          <w:p w14:paraId="608FAAB0"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6</w:t>
            </w:r>
            <w:r w:rsidRPr="00852E3F">
              <w:rPr>
                <w:szCs w:val="19"/>
                <w:highlight w:val="green"/>
              </w:rPr>
              <w:t>0%</w:t>
            </w:r>
          </w:p>
        </w:tc>
        <w:tc>
          <w:tcPr>
            <w:tcW w:w="708" w:type="dxa"/>
            <w:vAlign w:val="center"/>
          </w:tcPr>
          <w:p w14:paraId="0293FB7B" w14:textId="77777777" w:rsidR="00532C02" w:rsidRPr="00852E3F" w:rsidRDefault="00532C02" w:rsidP="00974BDA">
            <w:pPr>
              <w:widowControl w:val="0"/>
              <w:jc w:val="center"/>
              <w:rPr>
                <w:szCs w:val="19"/>
                <w:highlight w:val="green"/>
              </w:rPr>
            </w:pPr>
            <w:r w:rsidRPr="00852E3F">
              <w:rPr>
                <w:szCs w:val="19"/>
                <w:highlight w:val="green"/>
              </w:rPr>
              <w:t>50%</w:t>
            </w:r>
          </w:p>
        </w:tc>
        <w:tc>
          <w:tcPr>
            <w:tcW w:w="709" w:type="dxa"/>
            <w:vAlign w:val="center"/>
          </w:tcPr>
          <w:p w14:paraId="0223537C" w14:textId="77777777" w:rsidR="00532C02" w:rsidRPr="00852E3F" w:rsidRDefault="00532C02" w:rsidP="00974BDA">
            <w:pPr>
              <w:widowControl w:val="0"/>
              <w:jc w:val="center"/>
              <w:rPr>
                <w:szCs w:val="19"/>
                <w:highlight w:val="green"/>
              </w:rPr>
            </w:pPr>
            <w:r w:rsidRPr="00852E3F">
              <w:rPr>
                <w:szCs w:val="19"/>
                <w:highlight w:val="green"/>
              </w:rPr>
              <w:t>80%</w:t>
            </w:r>
          </w:p>
        </w:tc>
        <w:tc>
          <w:tcPr>
            <w:tcW w:w="709" w:type="dxa"/>
            <w:shd w:val="clear" w:color="auto" w:fill="auto"/>
            <w:tcMar>
              <w:top w:w="100" w:type="dxa"/>
              <w:left w:w="100" w:type="dxa"/>
              <w:bottom w:w="100" w:type="dxa"/>
              <w:right w:w="100" w:type="dxa"/>
            </w:tcMar>
            <w:vAlign w:val="center"/>
          </w:tcPr>
          <w:p w14:paraId="20467F90" w14:textId="77777777" w:rsidR="00532C02" w:rsidRPr="00852E3F" w:rsidRDefault="00532C02" w:rsidP="00974BDA">
            <w:pPr>
              <w:widowControl w:val="0"/>
              <w:jc w:val="center"/>
              <w:rPr>
                <w:szCs w:val="19"/>
                <w:highlight w:val="green"/>
              </w:rPr>
            </w:pPr>
            <w:r>
              <w:rPr>
                <w:szCs w:val="19"/>
                <w:highlight w:val="green"/>
              </w:rPr>
              <w:t>7</w:t>
            </w:r>
            <w:r w:rsidRPr="00852E3F">
              <w:rPr>
                <w:szCs w:val="19"/>
                <w:highlight w:val="green"/>
              </w:rPr>
              <w:t>0%</w:t>
            </w:r>
          </w:p>
        </w:tc>
        <w:tc>
          <w:tcPr>
            <w:tcW w:w="708" w:type="dxa"/>
            <w:shd w:val="clear" w:color="auto" w:fill="auto"/>
            <w:tcMar>
              <w:top w:w="100" w:type="dxa"/>
              <w:left w:w="100" w:type="dxa"/>
              <w:bottom w:w="100" w:type="dxa"/>
              <w:right w:w="100" w:type="dxa"/>
            </w:tcMar>
            <w:vAlign w:val="center"/>
          </w:tcPr>
          <w:p w14:paraId="4B9874AC" w14:textId="77777777" w:rsidR="00532C02" w:rsidRPr="00852E3F" w:rsidRDefault="00532C02" w:rsidP="00974BDA">
            <w:pPr>
              <w:widowControl w:val="0"/>
              <w:jc w:val="center"/>
              <w:rPr>
                <w:szCs w:val="19"/>
                <w:highlight w:val="green"/>
              </w:rPr>
            </w:pPr>
            <w:r>
              <w:rPr>
                <w:szCs w:val="19"/>
                <w:highlight w:val="green"/>
              </w:rPr>
              <w:t>9</w:t>
            </w:r>
            <w:r w:rsidRPr="00852E3F">
              <w:rPr>
                <w:szCs w:val="19"/>
                <w:highlight w:val="green"/>
              </w:rPr>
              <w:t>0%</w:t>
            </w:r>
          </w:p>
        </w:tc>
        <w:tc>
          <w:tcPr>
            <w:tcW w:w="851" w:type="dxa"/>
            <w:shd w:val="clear" w:color="auto" w:fill="auto"/>
            <w:tcMar>
              <w:top w:w="100" w:type="dxa"/>
              <w:left w:w="100" w:type="dxa"/>
              <w:bottom w:w="100" w:type="dxa"/>
              <w:right w:w="100" w:type="dxa"/>
            </w:tcMar>
            <w:vAlign w:val="center"/>
          </w:tcPr>
          <w:p w14:paraId="32C0D9FB"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90</w:t>
            </w:r>
            <w:r w:rsidRPr="00852E3F">
              <w:rPr>
                <w:szCs w:val="19"/>
                <w:highlight w:val="green"/>
              </w:rPr>
              <w:t>%</w:t>
            </w:r>
          </w:p>
        </w:tc>
        <w:tc>
          <w:tcPr>
            <w:tcW w:w="709" w:type="dxa"/>
            <w:shd w:val="clear" w:color="auto" w:fill="auto"/>
            <w:tcMar>
              <w:top w:w="100" w:type="dxa"/>
              <w:left w:w="100" w:type="dxa"/>
              <w:bottom w:w="100" w:type="dxa"/>
              <w:right w:w="100" w:type="dxa"/>
            </w:tcMar>
            <w:vAlign w:val="center"/>
          </w:tcPr>
          <w:p w14:paraId="2B773073"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100%</w:t>
            </w:r>
          </w:p>
        </w:tc>
      </w:tr>
      <w:tr w:rsidR="00532C02" w:rsidRPr="00852E3F" w14:paraId="48EE6550" w14:textId="77777777" w:rsidTr="00974BDA">
        <w:trPr>
          <w:jc w:val="center"/>
        </w:trPr>
        <w:tc>
          <w:tcPr>
            <w:tcW w:w="1408" w:type="dxa"/>
            <w:shd w:val="clear" w:color="auto" w:fill="auto"/>
            <w:tcMar>
              <w:top w:w="100" w:type="dxa"/>
              <w:left w:w="100" w:type="dxa"/>
              <w:bottom w:w="100" w:type="dxa"/>
              <w:right w:w="100" w:type="dxa"/>
            </w:tcMar>
            <w:vAlign w:val="center"/>
          </w:tcPr>
          <w:p w14:paraId="5AE173D2" w14:textId="77777777" w:rsidR="00532C02" w:rsidRPr="001A5CAB" w:rsidRDefault="00532C02" w:rsidP="00974BDA">
            <w:pPr>
              <w:widowControl w:val="0"/>
              <w:pBdr>
                <w:top w:val="nil"/>
                <w:left w:val="nil"/>
                <w:bottom w:val="nil"/>
                <w:right w:val="nil"/>
                <w:between w:val="nil"/>
              </w:pBdr>
              <w:rPr>
                <w:rFonts w:eastAsia="Helvetica Neue" w:cs="Helvetica Neue"/>
                <w:b/>
                <w:szCs w:val="19"/>
              </w:rPr>
            </w:pPr>
            <w:r w:rsidRPr="001A5CAB">
              <w:rPr>
                <w:rFonts w:eastAsia="Helvetica Neue" w:cs="Helvetica Neue"/>
                <w:b/>
                <w:szCs w:val="19"/>
              </w:rPr>
              <w:t xml:space="preserve">Activités </w:t>
            </w:r>
          </w:p>
          <w:p w14:paraId="16251D1A" w14:textId="77777777" w:rsidR="00532C02" w:rsidRPr="001A5CAB" w:rsidRDefault="00532C02" w:rsidP="00974BDA">
            <w:pPr>
              <w:widowControl w:val="0"/>
              <w:pBdr>
                <w:top w:val="nil"/>
                <w:left w:val="nil"/>
                <w:bottom w:val="nil"/>
                <w:right w:val="nil"/>
                <w:between w:val="nil"/>
              </w:pBdr>
              <w:rPr>
                <w:rFonts w:eastAsia="Helvetica Neue" w:cs="Helvetica Neue"/>
                <w:b/>
                <w:szCs w:val="19"/>
              </w:rPr>
            </w:pPr>
            <w:r w:rsidRPr="001A5CAB">
              <w:rPr>
                <w:rFonts w:eastAsia="Helvetica Neue" w:cs="Helvetica Neue"/>
                <w:b/>
                <w:szCs w:val="19"/>
              </w:rPr>
              <w:t>employés</w:t>
            </w:r>
          </w:p>
        </w:tc>
        <w:tc>
          <w:tcPr>
            <w:tcW w:w="2126" w:type="dxa"/>
            <w:shd w:val="clear" w:color="auto" w:fill="auto"/>
            <w:tcMar>
              <w:top w:w="100" w:type="dxa"/>
              <w:left w:w="100" w:type="dxa"/>
              <w:bottom w:w="100" w:type="dxa"/>
              <w:right w:w="100" w:type="dxa"/>
            </w:tcMar>
            <w:vAlign w:val="center"/>
          </w:tcPr>
          <w:p w14:paraId="28DA31CF" w14:textId="77777777" w:rsidR="00532C02" w:rsidRPr="00852E3F" w:rsidRDefault="00532C02" w:rsidP="00974BDA">
            <w:pPr>
              <w:widowControl w:val="0"/>
              <w:rPr>
                <w:rFonts w:eastAsia="Helvetica Neue" w:cs="Helvetica Neue"/>
                <w:b/>
                <w:szCs w:val="19"/>
                <w:highlight w:val="green"/>
              </w:rPr>
            </w:pPr>
            <w:r w:rsidRPr="00852E3F">
              <w:rPr>
                <w:szCs w:val="19"/>
              </w:rPr>
              <w:t>se référer à la norme VSS 640281</w:t>
            </w:r>
          </w:p>
        </w:tc>
        <w:tc>
          <w:tcPr>
            <w:tcW w:w="703" w:type="dxa"/>
            <w:shd w:val="clear" w:color="auto" w:fill="auto"/>
            <w:tcMar>
              <w:top w:w="100" w:type="dxa"/>
              <w:left w:w="100" w:type="dxa"/>
              <w:bottom w:w="100" w:type="dxa"/>
              <w:right w:w="100" w:type="dxa"/>
            </w:tcMar>
            <w:vAlign w:val="center"/>
          </w:tcPr>
          <w:p w14:paraId="55B590FD"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20</w:t>
            </w:r>
            <w:r w:rsidRPr="00852E3F">
              <w:rPr>
                <w:szCs w:val="19"/>
                <w:highlight w:val="green"/>
              </w:rPr>
              <w:t>%</w:t>
            </w:r>
          </w:p>
        </w:tc>
        <w:tc>
          <w:tcPr>
            <w:tcW w:w="715" w:type="dxa"/>
            <w:shd w:val="clear" w:color="auto" w:fill="auto"/>
            <w:tcMar>
              <w:top w:w="100" w:type="dxa"/>
              <w:left w:w="100" w:type="dxa"/>
              <w:bottom w:w="100" w:type="dxa"/>
              <w:right w:w="100" w:type="dxa"/>
            </w:tcMar>
            <w:vAlign w:val="center"/>
          </w:tcPr>
          <w:p w14:paraId="31881BFE"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4</w:t>
            </w:r>
            <w:r w:rsidRPr="00852E3F">
              <w:rPr>
                <w:szCs w:val="19"/>
                <w:highlight w:val="green"/>
              </w:rPr>
              <w:t>0%</w:t>
            </w:r>
          </w:p>
        </w:tc>
        <w:tc>
          <w:tcPr>
            <w:tcW w:w="708" w:type="dxa"/>
            <w:vAlign w:val="center"/>
          </w:tcPr>
          <w:p w14:paraId="4DA6B032"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4</w:t>
            </w:r>
            <w:r w:rsidRPr="00852E3F">
              <w:rPr>
                <w:szCs w:val="19"/>
                <w:highlight w:val="green"/>
              </w:rPr>
              <w:t>0%</w:t>
            </w:r>
          </w:p>
        </w:tc>
        <w:tc>
          <w:tcPr>
            <w:tcW w:w="709" w:type="dxa"/>
            <w:vAlign w:val="center"/>
          </w:tcPr>
          <w:p w14:paraId="0EC24E9A"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6</w:t>
            </w:r>
            <w:r w:rsidRPr="00852E3F">
              <w:rPr>
                <w:szCs w:val="19"/>
                <w:highlight w:val="green"/>
              </w:rPr>
              <w:t>0%</w:t>
            </w:r>
          </w:p>
        </w:tc>
        <w:tc>
          <w:tcPr>
            <w:tcW w:w="709" w:type="dxa"/>
            <w:shd w:val="clear" w:color="auto" w:fill="auto"/>
            <w:tcMar>
              <w:top w:w="100" w:type="dxa"/>
              <w:left w:w="100" w:type="dxa"/>
              <w:bottom w:w="100" w:type="dxa"/>
              <w:right w:w="100" w:type="dxa"/>
            </w:tcMar>
            <w:vAlign w:val="center"/>
          </w:tcPr>
          <w:p w14:paraId="4F4E14A7"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5</w:t>
            </w:r>
            <w:r w:rsidRPr="00852E3F">
              <w:rPr>
                <w:szCs w:val="19"/>
                <w:highlight w:val="green"/>
              </w:rPr>
              <w:t>0%</w:t>
            </w:r>
          </w:p>
        </w:tc>
        <w:tc>
          <w:tcPr>
            <w:tcW w:w="708" w:type="dxa"/>
            <w:shd w:val="clear" w:color="auto" w:fill="auto"/>
            <w:tcMar>
              <w:top w:w="100" w:type="dxa"/>
              <w:left w:w="100" w:type="dxa"/>
              <w:bottom w:w="100" w:type="dxa"/>
              <w:right w:w="100" w:type="dxa"/>
            </w:tcMar>
            <w:vAlign w:val="center"/>
          </w:tcPr>
          <w:p w14:paraId="017B390B"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8</w:t>
            </w:r>
            <w:r w:rsidRPr="00852E3F">
              <w:rPr>
                <w:szCs w:val="19"/>
                <w:highlight w:val="green"/>
              </w:rPr>
              <w:t>0%</w:t>
            </w:r>
          </w:p>
        </w:tc>
        <w:tc>
          <w:tcPr>
            <w:tcW w:w="851" w:type="dxa"/>
            <w:shd w:val="clear" w:color="auto" w:fill="auto"/>
            <w:tcMar>
              <w:top w:w="100" w:type="dxa"/>
              <w:left w:w="100" w:type="dxa"/>
              <w:bottom w:w="100" w:type="dxa"/>
              <w:right w:w="100" w:type="dxa"/>
            </w:tcMar>
            <w:vAlign w:val="center"/>
          </w:tcPr>
          <w:p w14:paraId="6F47FD76"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7</w:t>
            </w:r>
            <w:r w:rsidRPr="00852E3F">
              <w:rPr>
                <w:szCs w:val="19"/>
                <w:highlight w:val="green"/>
              </w:rPr>
              <w:t>0%</w:t>
            </w:r>
          </w:p>
        </w:tc>
        <w:tc>
          <w:tcPr>
            <w:tcW w:w="709" w:type="dxa"/>
            <w:shd w:val="clear" w:color="auto" w:fill="auto"/>
            <w:tcMar>
              <w:top w:w="100" w:type="dxa"/>
              <w:left w:w="100" w:type="dxa"/>
              <w:bottom w:w="100" w:type="dxa"/>
              <w:right w:w="100" w:type="dxa"/>
            </w:tcMar>
            <w:vAlign w:val="center"/>
          </w:tcPr>
          <w:p w14:paraId="37D386FD"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9</w:t>
            </w:r>
            <w:r w:rsidRPr="00852E3F">
              <w:rPr>
                <w:szCs w:val="19"/>
                <w:highlight w:val="green"/>
              </w:rPr>
              <w:t>0%</w:t>
            </w:r>
          </w:p>
        </w:tc>
      </w:tr>
      <w:tr w:rsidR="00532C02" w:rsidRPr="00852E3F" w14:paraId="705BD2E2" w14:textId="77777777" w:rsidTr="00974BDA">
        <w:trPr>
          <w:jc w:val="center"/>
        </w:trPr>
        <w:tc>
          <w:tcPr>
            <w:tcW w:w="1408" w:type="dxa"/>
            <w:shd w:val="clear" w:color="auto" w:fill="auto"/>
            <w:tcMar>
              <w:top w:w="100" w:type="dxa"/>
              <w:left w:w="100" w:type="dxa"/>
              <w:bottom w:w="100" w:type="dxa"/>
              <w:right w:w="100" w:type="dxa"/>
            </w:tcMar>
            <w:vAlign w:val="center"/>
          </w:tcPr>
          <w:p w14:paraId="7CB179E3" w14:textId="77777777" w:rsidR="00532C02" w:rsidRPr="001A5CAB" w:rsidRDefault="00532C02" w:rsidP="00974BDA">
            <w:pPr>
              <w:widowControl w:val="0"/>
              <w:rPr>
                <w:rFonts w:eastAsia="Helvetica Neue" w:cs="Helvetica Neue"/>
                <w:b/>
                <w:szCs w:val="19"/>
              </w:rPr>
            </w:pPr>
            <w:r w:rsidRPr="001A5CAB">
              <w:rPr>
                <w:rFonts w:eastAsia="Helvetica Neue" w:cs="Helvetica Neue"/>
                <w:b/>
                <w:szCs w:val="19"/>
              </w:rPr>
              <w:t xml:space="preserve">Activités </w:t>
            </w:r>
          </w:p>
          <w:p w14:paraId="3F9DF2C6" w14:textId="77777777" w:rsidR="00532C02" w:rsidRPr="001A5CAB" w:rsidRDefault="00532C02" w:rsidP="00974BDA">
            <w:pPr>
              <w:widowControl w:val="0"/>
              <w:rPr>
                <w:rFonts w:eastAsia="Helvetica Neue" w:cs="Helvetica Neue"/>
                <w:b/>
                <w:szCs w:val="19"/>
              </w:rPr>
            </w:pPr>
            <w:r w:rsidRPr="001A5CAB">
              <w:rPr>
                <w:rFonts w:eastAsia="Helvetica Neue" w:cs="Helvetica Neue"/>
                <w:b/>
                <w:szCs w:val="19"/>
              </w:rPr>
              <w:t>visiteurs/</w:t>
            </w:r>
            <w:r w:rsidRPr="001A5CAB">
              <w:rPr>
                <w:rFonts w:eastAsia="Helvetica Neue" w:cs="Helvetica Neue"/>
                <w:b/>
                <w:szCs w:val="19"/>
              </w:rPr>
              <w:br/>
              <w:t>clients</w:t>
            </w:r>
          </w:p>
        </w:tc>
        <w:tc>
          <w:tcPr>
            <w:tcW w:w="2126" w:type="dxa"/>
            <w:shd w:val="clear" w:color="auto" w:fill="auto"/>
            <w:tcMar>
              <w:top w:w="100" w:type="dxa"/>
              <w:left w:w="100" w:type="dxa"/>
              <w:bottom w:w="100" w:type="dxa"/>
              <w:right w:w="100" w:type="dxa"/>
            </w:tcMar>
            <w:vAlign w:val="center"/>
          </w:tcPr>
          <w:p w14:paraId="297772C4" w14:textId="77777777" w:rsidR="00532C02" w:rsidRPr="00852E3F" w:rsidRDefault="00532C02" w:rsidP="00974BDA">
            <w:pPr>
              <w:widowControl w:val="0"/>
              <w:rPr>
                <w:szCs w:val="19"/>
                <w:highlight w:val="green"/>
              </w:rPr>
            </w:pPr>
            <w:r w:rsidRPr="00852E3F">
              <w:rPr>
                <w:szCs w:val="19"/>
              </w:rPr>
              <w:t>se référer à la norme VSS 640281</w:t>
            </w:r>
          </w:p>
        </w:tc>
        <w:tc>
          <w:tcPr>
            <w:tcW w:w="703" w:type="dxa"/>
            <w:shd w:val="clear" w:color="auto" w:fill="auto"/>
            <w:tcMar>
              <w:top w:w="100" w:type="dxa"/>
              <w:left w:w="100" w:type="dxa"/>
              <w:bottom w:w="100" w:type="dxa"/>
              <w:right w:w="100" w:type="dxa"/>
            </w:tcMar>
            <w:vAlign w:val="center"/>
          </w:tcPr>
          <w:p w14:paraId="667AA510" w14:textId="77777777" w:rsidR="00532C02" w:rsidRPr="00852E3F" w:rsidRDefault="00532C02" w:rsidP="00974BDA">
            <w:pPr>
              <w:widowControl w:val="0"/>
              <w:jc w:val="center"/>
              <w:rPr>
                <w:szCs w:val="19"/>
                <w:highlight w:val="green"/>
              </w:rPr>
            </w:pPr>
            <w:r>
              <w:rPr>
                <w:szCs w:val="19"/>
                <w:highlight w:val="green"/>
              </w:rPr>
              <w:t>2</w:t>
            </w:r>
            <w:r w:rsidRPr="00852E3F">
              <w:rPr>
                <w:szCs w:val="19"/>
                <w:highlight w:val="green"/>
              </w:rPr>
              <w:t>0%</w:t>
            </w:r>
          </w:p>
        </w:tc>
        <w:tc>
          <w:tcPr>
            <w:tcW w:w="715" w:type="dxa"/>
            <w:shd w:val="clear" w:color="auto" w:fill="auto"/>
            <w:tcMar>
              <w:top w:w="100" w:type="dxa"/>
              <w:left w:w="100" w:type="dxa"/>
              <w:bottom w:w="100" w:type="dxa"/>
              <w:right w:w="100" w:type="dxa"/>
            </w:tcMar>
            <w:vAlign w:val="center"/>
          </w:tcPr>
          <w:p w14:paraId="0A1B4B2E" w14:textId="77777777" w:rsidR="00532C02" w:rsidRPr="00852E3F" w:rsidRDefault="00532C02" w:rsidP="00974BDA">
            <w:pPr>
              <w:widowControl w:val="0"/>
              <w:jc w:val="center"/>
              <w:rPr>
                <w:szCs w:val="19"/>
                <w:highlight w:val="green"/>
              </w:rPr>
            </w:pPr>
            <w:r>
              <w:rPr>
                <w:szCs w:val="19"/>
                <w:highlight w:val="green"/>
              </w:rPr>
              <w:t>4</w:t>
            </w:r>
            <w:r w:rsidRPr="00852E3F">
              <w:rPr>
                <w:szCs w:val="19"/>
                <w:highlight w:val="green"/>
              </w:rPr>
              <w:t>0%</w:t>
            </w:r>
          </w:p>
        </w:tc>
        <w:tc>
          <w:tcPr>
            <w:tcW w:w="708" w:type="dxa"/>
            <w:vAlign w:val="center"/>
          </w:tcPr>
          <w:p w14:paraId="541FDA8F"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4</w:t>
            </w:r>
            <w:r w:rsidRPr="00852E3F">
              <w:rPr>
                <w:szCs w:val="19"/>
                <w:highlight w:val="green"/>
              </w:rPr>
              <w:t>0%</w:t>
            </w:r>
          </w:p>
        </w:tc>
        <w:tc>
          <w:tcPr>
            <w:tcW w:w="709" w:type="dxa"/>
            <w:vAlign w:val="center"/>
          </w:tcPr>
          <w:p w14:paraId="6510784A"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6</w:t>
            </w:r>
            <w:r w:rsidRPr="00852E3F">
              <w:rPr>
                <w:szCs w:val="19"/>
                <w:highlight w:val="green"/>
              </w:rPr>
              <w:t>0%</w:t>
            </w:r>
          </w:p>
        </w:tc>
        <w:tc>
          <w:tcPr>
            <w:tcW w:w="709" w:type="dxa"/>
            <w:shd w:val="clear" w:color="auto" w:fill="auto"/>
            <w:tcMar>
              <w:top w:w="100" w:type="dxa"/>
              <w:left w:w="100" w:type="dxa"/>
              <w:bottom w:w="100" w:type="dxa"/>
              <w:right w:w="100" w:type="dxa"/>
            </w:tcMar>
            <w:vAlign w:val="center"/>
          </w:tcPr>
          <w:p w14:paraId="43E38EA4"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5</w:t>
            </w:r>
            <w:r w:rsidRPr="00852E3F">
              <w:rPr>
                <w:szCs w:val="19"/>
                <w:highlight w:val="green"/>
              </w:rPr>
              <w:t>0%</w:t>
            </w:r>
          </w:p>
        </w:tc>
        <w:tc>
          <w:tcPr>
            <w:tcW w:w="708" w:type="dxa"/>
            <w:shd w:val="clear" w:color="auto" w:fill="auto"/>
            <w:tcMar>
              <w:top w:w="100" w:type="dxa"/>
              <w:left w:w="100" w:type="dxa"/>
              <w:bottom w:w="100" w:type="dxa"/>
              <w:right w:w="100" w:type="dxa"/>
            </w:tcMar>
            <w:vAlign w:val="center"/>
          </w:tcPr>
          <w:p w14:paraId="0BE408AA"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8</w:t>
            </w:r>
            <w:r w:rsidRPr="00852E3F">
              <w:rPr>
                <w:szCs w:val="19"/>
                <w:highlight w:val="green"/>
              </w:rPr>
              <w:t>0%</w:t>
            </w:r>
          </w:p>
        </w:tc>
        <w:tc>
          <w:tcPr>
            <w:tcW w:w="851" w:type="dxa"/>
            <w:shd w:val="clear" w:color="auto" w:fill="auto"/>
            <w:tcMar>
              <w:top w:w="100" w:type="dxa"/>
              <w:left w:w="100" w:type="dxa"/>
              <w:bottom w:w="100" w:type="dxa"/>
              <w:right w:w="100" w:type="dxa"/>
            </w:tcMar>
            <w:vAlign w:val="center"/>
          </w:tcPr>
          <w:p w14:paraId="462D287D"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7</w:t>
            </w:r>
            <w:r w:rsidRPr="00852E3F">
              <w:rPr>
                <w:szCs w:val="19"/>
                <w:highlight w:val="green"/>
              </w:rPr>
              <w:t>0%</w:t>
            </w:r>
          </w:p>
        </w:tc>
        <w:tc>
          <w:tcPr>
            <w:tcW w:w="709" w:type="dxa"/>
            <w:shd w:val="clear" w:color="auto" w:fill="auto"/>
            <w:tcMar>
              <w:top w:w="100" w:type="dxa"/>
              <w:left w:w="100" w:type="dxa"/>
              <w:bottom w:w="100" w:type="dxa"/>
              <w:right w:w="100" w:type="dxa"/>
            </w:tcMar>
            <w:vAlign w:val="center"/>
          </w:tcPr>
          <w:p w14:paraId="4D772F3B" w14:textId="77777777" w:rsidR="00532C02" w:rsidRPr="00852E3F" w:rsidRDefault="00532C02" w:rsidP="00974BDA">
            <w:pPr>
              <w:widowControl w:val="0"/>
              <w:pBdr>
                <w:top w:val="nil"/>
                <w:left w:val="nil"/>
                <w:bottom w:val="nil"/>
                <w:right w:val="nil"/>
                <w:between w:val="nil"/>
              </w:pBdr>
              <w:jc w:val="center"/>
              <w:rPr>
                <w:szCs w:val="19"/>
                <w:highlight w:val="green"/>
              </w:rPr>
            </w:pPr>
            <w:r>
              <w:rPr>
                <w:szCs w:val="19"/>
                <w:highlight w:val="green"/>
              </w:rPr>
              <w:t>9</w:t>
            </w:r>
            <w:r w:rsidRPr="00852E3F">
              <w:rPr>
                <w:szCs w:val="19"/>
                <w:highlight w:val="green"/>
              </w:rPr>
              <w:t>0%</w:t>
            </w:r>
          </w:p>
        </w:tc>
      </w:tr>
    </w:tbl>
    <w:p w14:paraId="0DB609E3" w14:textId="77777777" w:rsidR="00532C02" w:rsidRDefault="00532C02" w:rsidP="00532C02">
      <w:pPr>
        <w:pStyle w:val="41Artalina"/>
        <w:numPr>
          <w:ilvl w:val="0"/>
          <w:numId w:val="0"/>
        </w:numPr>
      </w:pPr>
    </w:p>
    <w:p w14:paraId="1BA5FE97" w14:textId="77777777" w:rsidR="00532C02" w:rsidRDefault="00532C02" w:rsidP="00532C02">
      <w:pPr>
        <w:pStyle w:val="41Artalina"/>
        <w:numPr>
          <w:ilvl w:val="0"/>
          <w:numId w:val="20"/>
        </w:numPr>
      </w:pPr>
      <w:r>
        <w:t>Pour les immeubles avec encadrement pour personnes âgées et les résidences d’étudiants et d’étudiantes, aucune case de stationnement habitant n’est exigée. En revanche, le nombre de cases de stationnement pour le personnel et les visiteurs et visiteuses est calculé selon la norme VSS correspondante.</w:t>
      </w:r>
    </w:p>
    <w:p w14:paraId="4A24B861" w14:textId="77777777" w:rsidR="00532C02" w:rsidRDefault="00532C02" w:rsidP="00532C02">
      <w:pPr>
        <w:pStyle w:val="41Artalina"/>
        <w:numPr>
          <w:ilvl w:val="0"/>
          <w:numId w:val="20"/>
        </w:numPr>
      </w:pPr>
      <w:r>
        <w:lastRenderedPageBreak/>
        <w:t>Le nombre de cases de stationnement pour les deux-roues motorisés est fixé au minimum à 10% du besoin en cases de stationnement pour voitures définies à l’alinéa 2. Au minimum 50% des cases sont accessibles aux visiteurs et visiteuses et se situent à proximité des entrées principales des constructions.</w:t>
      </w:r>
    </w:p>
    <w:p w14:paraId="7DC22CB0" w14:textId="77777777" w:rsidR="00532C02" w:rsidRDefault="00532C02" w:rsidP="00532C02">
      <w:pPr>
        <w:pStyle w:val="41Artalina"/>
        <w:numPr>
          <w:ilvl w:val="0"/>
          <w:numId w:val="20"/>
        </w:numPr>
      </w:pPr>
      <w:r>
        <w:t>À la fin des calculs, après avoir fait tous les totaux, l’arrondissement du nombre de cases de stationnement se réalise à l’entier supérieur.</w:t>
      </w:r>
    </w:p>
    <w:p w14:paraId="1D3958C5" w14:textId="77777777" w:rsidR="00384298" w:rsidRDefault="00384298" w:rsidP="00EB5DF0">
      <w:pPr>
        <w:pStyle w:val="41Artalina"/>
        <w:numPr>
          <w:ilvl w:val="0"/>
          <w:numId w:val="0"/>
        </w:numPr>
      </w:pPr>
    </w:p>
    <w:p w14:paraId="3C0F48B8" w14:textId="77777777" w:rsidR="00532C02" w:rsidRDefault="00532C02" w:rsidP="00532C02">
      <w:pPr>
        <w:pStyle w:val="40ArtTitre"/>
      </w:pPr>
      <w:r w:rsidRPr="00752F75">
        <w:t xml:space="preserve">Art. </w:t>
      </w:r>
      <w:r w:rsidRPr="00752F75">
        <w:rPr>
          <w:highlight w:val="green"/>
        </w:rPr>
        <w:t>xx</w:t>
      </w:r>
      <w:r>
        <w:tab/>
      </w:r>
      <w:r w:rsidRPr="00532C02">
        <w:t>Plan de mobilité</w:t>
      </w:r>
    </w:p>
    <w:p w14:paraId="31659BCD" w14:textId="77777777" w:rsidR="00532C02" w:rsidRDefault="00532C02" w:rsidP="00532C02">
      <w:pPr>
        <w:pStyle w:val="41Artalina"/>
        <w:numPr>
          <w:ilvl w:val="0"/>
          <w:numId w:val="21"/>
        </w:numPr>
      </w:pPr>
      <w:r>
        <w:t xml:space="preserve"> Lors de toute demande de permis de construire, les activités économiques dont le nombre d’équivalents plein temps localisés sur le territoire communal est supérieur ou égal à </w:t>
      </w:r>
      <w:r w:rsidRPr="00532C02">
        <w:rPr>
          <w:highlight w:val="green"/>
        </w:rPr>
        <w:t>50</w:t>
      </w:r>
      <w:r>
        <w:t xml:space="preserve"> sont tenues de mettre en place un plan de mobilité établi sur la base d’un cahier des charges préalablement validé par la Commune. </w:t>
      </w:r>
    </w:p>
    <w:p w14:paraId="2216E2F6" w14:textId="77777777" w:rsidR="00532C02" w:rsidRDefault="00532C02" w:rsidP="00532C02">
      <w:pPr>
        <w:pStyle w:val="41Artalina"/>
        <w:numPr>
          <w:ilvl w:val="0"/>
          <w:numId w:val="21"/>
        </w:numPr>
      </w:pPr>
      <w:r>
        <w:t xml:space="preserve">Lors de toute demande de permis de construire, les activités économiques dont le nombre d’équivalents plein temps localisés sur le territoire communal est supérieur ou égal à </w:t>
      </w:r>
      <w:r w:rsidRPr="00532C02">
        <w:rPr>
          <w:highlight w:val="green"/>
        </w:rPr>
        <w:t>25</w:t>
      </w:r>
      <w:r>
        <w:t>, sont tenues de soumettre à la Commune des mesures de gestion du stationnement visant à diminuer leur besoin en cases de stationnement ainsi que la génération de trafic.</w:t>
      </w:r>
    </w:p>
    <w:p w14:paraId="630DC8E3" w14:textId="77777777" w:rsidR="00384298" w:rsidRDefault="00384298" w:rsidP="00EB5DF0">
      <w:pPr>
        <w:pStyle w:val="41Artalina"/>
        <w:numPr>
          <w:ilvl w:val="0"/>
          <w:numId w:val="0"/>
        </w:numPr>
      </w:pPr>
    </w:p>
    <w:p w14:paraId="22E09E48" w14:textId="77777777" w:rsidR="00532C02" w:rsidRDefault="00532C02" w:rsidP="00532C02">
      <w:pPr>
        <w:pStyle w:val="40ArtTitre"/>
      </w:pPr>
      <w:r w:rsidRPr="00752F75">
        <w:t xml:space="preserve">Art. </w:t>
      </w:r>
      <w:r w:rsidRPr="00752F75">
        <w:rPr>
          <w:highlight w:val="green"/>
        </w:rPr>
        <w:t>xx</w:t>
      </w:r>
      <w:r>
        <w:tab/>
      </w:r>
      <w:r w:rsidRPr="00532C02">
        <w:t>Accès pour les véhicules motorisés</w:t>
      </w:r>
    </w:p>
    <w:p w14:paraId="1E2506A0" w14:textId="77777777" w:rsidR="00532C02" w:rsidRDefault="00532C02" w:rsidP="00532C02">
      <w:pPr>
        <w:pStyle w:val="41Artalina"/>
        <w:numPr>
          <w:ilvl w:val="0"/>
          <w:numId w:val="22"/>
        </w:numPr>
      </w:pPr>
      <w:r>
        <w:t xml:space="preserve"> Les dimensions et les caractéristiques des accès pour véhicules motorisés (largeur, pente, visibilités…) sont définies selon les normes VSS en vigueur. </w:t>
      </w:r>
    </w:p>
    <w:p w14:paraId="0D7BF322" w14:textId="77777777" w:rsidR="00532C02" w:rsidRDefault="00532C02" w:rsidP="00532C02">
      <w:pPr>
        <w:pStyle w:val="41Artalina"/>
        <w:numPr>
          <w:ilvl w:val="0"/>
          <w:numId w:val="22"/>
        </w:numPr>
      </w:pPr>
      <w:r>
        <w:t>L’accès au réseau routier doit respecter les dispositions de la législation en vigueur.</w:t>
      </w:r>
    </w:p>
    <w:p w14:paraId="672B0C02" w14:textId="77777777" w:rsidR="00532C02" w:rsidRDefault="00532C02" w:rsidP="00532C02">
      <w:pPr>
        <w:pStyle w:val="41Artalina"/>
        <w:numPr>
          <w:ilvl w:val="0"/>
          <w:numId w:val="22"/>
        </w:numPr>
      </w:pPr>
      <w:r>
        <w:t xml:space="preserve">Les conditions d’aménagement des accès sont régies par la législation en vigueur. </w:t>
      </w:r>
    </w:p>
    <w:p w14:paraId="79788C74" w14:textId="77777777" w:rsidR="00532C02" w:rsidRDefault="00532C02" w:rsidP="00532C02">
      <w:pPr>
        <w:pStyle w:val="41Artalina"/>
        <w:numPr>
          <w:ilvl w:val="0"/>
          <w:numId w:val="22"/>
        </w:numPr>
      </w:pPr>
      <w:r>
        <w:t xml:space="preserve">L’établissement d’un accès au travers d’un trottoir public est soumis à l’autorisation de l’autorité compétente. Les frais d’établissement, d’entretien et, s’il y a lieu, de suppression et remise en état des lieux sont à la charge du bénéficiaire de l’accès. </w:t>
      </w:r>
    </w:p>
    <w:p w14:paraId="20B13547" w14:textId="77777777" w:rsidR="00532C02" w:rsidRDefault="00532C02" w:rsidP="00532C02">
      <w:pPr>
        <w:pStyle w:val="41Artalina"/>
        <w:numPr>
          <w:ilvl w:val="0"/>
          <w:numId w:val="22"/>
        </w:numPr>
      </w:pPr>
      <w:r>
        <w:t>Les rampes d’accès au stationnement souterrain sont obligatoirement réalisées à l’intérieur des limites de constructions. Leur localisation et leur conception doivent assurer une intégration harmonieuse au site. L’emprise sur les espaces ouverts doit être limitée au strict minimum.</w:t>
      </w:r>
    </w:p>
    <w:p w14:paraId="4955B770" w14:textId="77777777" w:rsidR="00EB5DF0" w:rsidRDefault="00EB5DF0" w:rsidP="00EB5DF0">
      <w:pPr>
        <w:pStyle w:val="41Artalina"/>
        <w:numPr>
          <w:ilvl w:val="0"/>
          <w:numId w:val="0"/>
        </w:numPr>
      </w:pPr>
    </w:p>
    <w:p w14:paraId="786B2AF0" w14:textId="77777777" w:rsidR="00E343F3" w:rsidRDefault="00E343F3" w:rsidP="00E343F3">
      <w:pPr>
        <w:pStyle w:val="41Artalina"/>
        <w:numPr>
          <w:ilvl w:val="0"/>
          <w:numId w:val="0"/>
        </w:numPr>
        <w:ind w:left="340" w:hanging="340"/>
      </w:pPr>
    </w:p>
    <w:p w14:paraId="425B1E91" w14:textId="77777777" w:rsidR="00E343F3" w:rsidRDefault="00E343F3" w:rsidP="00E343F3">
      <w:pPr>
        <w:pStyle w:val="22FTTitreparagraphe"/>
      </w:pPr>
      <w:r w:rsidRPr="007505AB">
        <w:t>Service(s) responsable(s)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E343F3" w:rsidRPr="00337824" w14:paraId="35C5BBDB" w14:textId="77777777" w:rsidTr="003072BF">
        <w:trPr>
          <w:trHeight w:val="397"/>
        </w:trPr>
        <w:tc>
          <w:tcPr>
            <w:tcW w:w="4536" w:type="dxa"/>
            <w:shd w:val="clear" w:color="auto" w:fill="D9D9D9" w:themeFill="background1" w:themeFillShade="D9"/>
            <w:vAlign w:val="center"/>
          </w:tcPr>
          <w:p w14:paraId="3CB07160" w14:textId="77777777" w:rsidR="00E343F3" w:rsidRPr="00337824" w:rsidRDefault="00E343F3" w:rsidP="00974BDA">
            <w:pPr>
              <w:pStyle w:val="31FTTABServices-Valid"/>
            </w:pPr>
            <w:r w:rsidRPr="00337824">
              <w:t>Service(s)</w:t>
            </w:r>
          </w:p>
        </w:tc>
        <w:tc>
          <w:tcPr>
            <w:tcW w:w="4536" w:type="dxa"/>
            <w:shd w:val="clear" w:color="auto" w:fill="D9D9D9" w:themeFill="background1" w:themeFillShade="D9"/>
            <w:vAlign w:val="center"/>
          </w:tcPr>
          <w:p w14:paraId="57FA3B67" w14:textId="77777777" w:rsidR="00E343F3" w:rsidRPr="00337824" w:rsidRDefault="00E343F3" w:rsidP="00974BDA">
            <w:pPr>
              <w:pStyle w:val="31FTTABServices-Valid"/>
            </w:pPr>
            <w:r w:rsidRPr="00337824">
              <w:t>Coordonnées</w:t>
            </w:r>
          </w:p>
        </w:tc>
      </w:tr>
      <w:tr w:rsidR="00E343F3" w:rsidRPr="00337824" w14:paraId="0528A698" w14:textId="77777777" w:rsidTr="003072BF">
        <w:trPr>
          <w:trHeight w:val="1222"/>
        </w:trPr>
        <w:tc>
          <w:tcPr>
            <w:tcW w:w="4536" w:type="dxa"/>
            <w:vAlign w:val="center"/>
          </w:tcPr>
          <w:p w14:paraId="7DC48770" w14:textId="77777777" w:rsidR="00E343F3" w:rsidRPr="00337824" w:rsidRDefault="00E343F3" w:rsidP="00974BDA">
            <w:pPr>
              <w:pStyle w:val="31FTTABServices-Valid"/>
            </w:pPr>
            <w:r w:rsidRPr="00337824">
              <w:t>Service de la mobilité (SDM)</w:t>
            </w:r>
          </w:p>
        </w:tc>
        <w:tc>
          <w:tcPr>
            <w:tcW w:w="4536" w:type="dxa"/>
            <w:vAlign w:val="center"/>
          </w:tcPr>
          <w:p w14:paraId="778CCD71" w14:textId="77777777" w:rsidR="00E343F3" w:rsidRPr="00337824" w:rsidRDefault="00E343F3" w:rsidP="00974BDA">
            <w:pPr>
              <w:pStyle w:val="31FTTABServices-Valid"/>
            </w:pPr>
            <w:r w:rsidRPr="00337824">
              <w:t>Rue des Creusets 5</w:t>
            </w:r>
          </w:p>
          <w:p w14:paraId="6FB26EB2" w14:textId="77777777" w:rsidR="00E343F3" w:rsidRPr="00337824" w:rsidRDefault="00E343F3" w:rsidP="00974BDA">
            <w:pPr>
              <w:pStyle w:val="31FTTABServices-Valid"/>
            </w:pPr>
            <w:r w:rsidRPr="00337824">
              <w:t>1950 Sion</w:t>
            </w:r>
          </w:p>
          <w:p w14:paraId="2B4D8C3D" w14:textId="77777777" w:rsidR="00E343F3" w:rsidRPr="00337824" w:rsidRDefault="00E343F3" w:rsidP="00974BDA">
            <w:pPr>
              <w:pStyle w:val="31FTTABServices-Valid"/>
            </w:pPr>
            <w:r w:rsidRPr="00337824">
              <w:t>027 606 34 00</w:t>
            </w:r>
          </w:p>
          <w:p w14:paraId="5909D773" w14:textId="77777777" w:rsidR="00E343F3" w:rsidRPr="00995C77" w:rsidRDefault="00E343F3" w:rsidP="00995C77">
            <w:pPr>
              <w:pStyle w:val="31aTABservLienhypertexte"/>
            </w:pPr>
            <w:hyperlink r:id="rId12" w:history="1">
              <w:r w:rsidRPr="00995C77">
                <w:rPr>
                  <w:rStyle w:val="Lienhypertexte"/>
                </w:rPr>
                <w:t>SDM@admin.vs.ch</w:t>
              </w:r>
            </w:hyperlink>
            <w:r w:rsidRPr="00995C77">
              <w:t xml:space="preserve"> </w:t>
            </w:r>
          </w:p>
          <w:p w14:paraId="699B4811" w14:textId="77777777" w:rsidR="00E343F3" w:rsidRPr="00995C77" w:rsidRDefault="00E343F3" w:rsidP="00995C77">
            <w:pPr>
              <w:pStyle w:val="31aTABservLienhypertexte"/>
            </w:pPr>
            <w:hyperlink r:id="rId13" w:history="1">
              <w:r w:rsidRPr="00995C77">
                <w:rPr>
                  <w:rStyle w:val="Lienhypertexte"/>
                </w:rPr>
                <w:t>https://www.vs.ch/web/sdm/home</w:t>
              </w:r>
            </w:hyperlink>
            <w:r w:rsidRPr="00995C77">
              <w:t xml:space="preserve"> </w:t>
            </w:r>
          </w:p>
        </w:tc>
      </w:tr>
    </w:tbl>
    <w:p w14:paraId="42E3441A" w14:textId="77777777" w:rsidR="002064B0" w:rsidRDefault="002064B0" w:rsidP="000A3033"/>
    <w:p w14:paraId="26B8AE27" w14:textId="77777777" w:rsidR="000A3033" w:rsidRPr="00DA6CF1" w:rsidRDefault="000A3033" w:rsidP="000A3033">
      <w:pPr>
        <w:spacing w:before="120" w:after="120"/>
        <w:rPr>
          <w:rFonts w:ascii="Helvetica 55 Roman" w:hAnsi="Helvetica 55 Roman" w:cs="Arial"/>
          <w:b/>
          <w:sz w:val="21"/>
          <w:szCs w:val="21"/>
        </w:rPr>
      </w:pPr>
      <w:r>
        <w:rPr>
          <w:rFonts w:ascii="Helvetica 55 Roman" w:hAnsi="Helvetica 55 Roman" w:cs="Arial"/>
          <w:b/>
          <w:sz w:val="21"/>
          <w:szCs w:val="21"/>
        </w:rPr>
        <w:t>Validation et versions</w:t>
      </w:r>
    </w:p>
    <w:tbl>
      <w:tblPr>
        <w:tblStyle w:val="Grilledutableau"/>
        <w:tblW w:w="9072" w:type="dxa"/>
        <w:tblBorders>
          <w:top w:val="dotted" w:sz="4"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075"/>
        <w:gridCol w:w="6378"/>
      </w:tblGrid>
      <w:tr w:rsidR="000A3033" w:rsidRPr="00BC6B83" w14:paraId="4AD6594C" w14:textId="77777777" w:rsidTr="00974BDA">
        <w:trPr>
          <w:trHeight w:val="397"/>
        </w:trPr>
        <w:tc>
          <w:tcPr>
            <w:tcW w:w="1619" w:type="dxa"/>
            <w:tcBorders>
              <w:top w:val="dotted" w:sz="4" w:space="0" w:color="auto"/>
              <w:bottom w:val="dotted" w:sz="4" w:space="0" w:color="auto"/>
            </w:tcBorders>
            <w:shd w:val="clear" w:color="auto" w:fill="D9D9D9" w:themeFill="background1" w:themeFillShade="D9"/>
            <w:vAlign w:val="center"/>
          </w:tcPr>
          <w:p w14:paraId="15FDE430" w14:textId="77777777" w:rsidR="000A3033" w:rsidRPr="00BC6B83" w:rsidRDefault="000A3033" w:rsidP="00A73646">
            <w:pPr>
              <w:pStyle w:val="31FTTABServices-Valid"/>
            </w:pPr>
            <w:r w:rsidRPr="00BC6B83">
              <w:t>Date</w:t>
            </w:r>
          </w:p>
        </w:tc>
        <w:tc>
          <w:tcPr>
            <w:tcW w:w="1075" w:type="dxa"/>
            <w:tcBorders>
              <w:top w:val="dotted" w:sz="4" w:space="0" w:color="auto"/>
              <w:bottom w:val="dotted" w:sz="4" w:space="0" w:color="auto"/>
            </w:tcBorders>
            <w:shd w:val="clear" w:color="auto" w:fill="D9D9D9" w:themeFill="background1" w:themeFillShade="D9"/>
            <w:vAlign w:val="center"/>
          </w:tcPr>
          <w:p w14:paraId="4827CCFE" w14:textId="77777777" w:rsidR="000A3033" w:rsidRPr="00BC6B83" w:rsidRDefault="000A3033" w:rsidP="00A73646">
            <w:pPr>
              <w:pStyle w:val="31FTTABServices-Valid"/>
            </w:pPr>
            <w:r>
              <w:t>Version</w:t>
            </w:r>
          </w:p>
        </w:tc>
        <w:tc>
          <w:tcPr>
            <w:tcW w:w="6378" w:type="dxa"/>
            <w:tcBorders>
              <w:top w:val="dotted" w:sz="4" w:space="0" w:color="auto"/>
              <w:bottom w:val="dotted" w:sz="4" w:space="0" w:color="auto"/>
            </w:tcBorders>
            <w:shd w:val="clear" w:color="auto" w:fill="D9D9D9" w:themeFill="background1" w:themeFillShade="D9"/>
            <w:vAlign w:val="center"/>
          </w:tcPr>
          <w:p w14:paraId="39F01805" w14:textId="77777777" w:rsidR="000A3033" w:rsidRPr="00BC6B83" w:rsidRDefault="000A3033" w:rsidP="00A73646">
            <w:pPr>
              <w:pStyle w:val="31FTTABServices-Valid"/>
            </w:pPr>
            <w:r>
              <w:t>Validation et m</w:t>
            </w:r>
            <w:r w:rsidRPr="00BC6B83">
              <w:t>odifications</w:t>
            </w:r>
          </w:p>
        </w:tc>
      </w:tr>
      <w:tr w:rsidR="000A3033" w:rsidRPr="00BC6B83" w14:paraId="613D60A4" w14:textId="77777777" w:rsidTr="00974BDA">
        <w:trPr>
          <w:trHeight w:val="397"/>
        </w:trPr>
        <w:tc>
          <w:tcPr>
            <w:tcW w:w="1619" w:type="dxa"/>
            <w:tcBorders>
              <w:top w:val="dotted" w:sz="4" w:space="0" w:color="auto"/>
            </w:tcBorders>
            <w:vAlign w:val="center"/>
          </w:tcPr>
          <w:p w14:paraId="1C2C9E84" w14:textId="77777777" w:rsidR="000A3033" w:rsidRPr="00F540CC" w:rsidRDefault="000A3033" w:rsidP="00A73646">
            <w:pPr>
              <w:pStyle w:val="31FTTABServices-Valid"/>
            </w:pPr>
            <w:r w:rsidRPr="000A3033">
              <w:t>8 janvier 2025</w:t>
            </w:r>
          </w:p>
        </w:tc>
        <w:tc>
          <w:tcPr>
            <w:tcW w:w="1075" w:type="dxa"/>
            <w:tcBorders>
              <w:top w:val="dotted" w:sz="4" w:space="0" w:color="auto"/>
            </w:tcBorders>
            <w:vAlign w:val="center"/>
          </w:tcPr>
          <w:p w14:paraId="76C9E2A0" w14:textId="77777777" w:rsidR="000A3033" w:rsidRPr="00F540CC" w:rsidRDefault="000A3033" w:rsidP="00A73646">
            <w:pPr>
              <w:pStyle w:val="31FTTABServices-Valid"/>
            </w:pPr>
            <w:r>
              <w:t>1.0</w:t>
            </w:r>
          </w:p>
        </w:tc>
        <w:tc>
          <w:tcPr>
            <w:tcW w:w="6378" w:type="dxa"/>
            <w:tcBorders>
              <w:top w:val="dotted" w:sz="4" w:space="0" w:color="auto"/>
            </w:tcBorders>
            <w:vAlign w:val="center"/>
          </w:tcPr>
          <w:p w14:paraId="3A080890" w14:textId="77777777" w:rsidR="000A3033" w:rsidRPr="00BC6B83" w:rsidRDefault="000A3033" w:rsidP="00A73646">
            <w:pPr>
              <w:pStyle w:val="31FTTABServices-Valid"/>
            </w:pPr>
            <w:r w:rsidRPr="00F540CC">
              <w:t>Validation du/des service(s) responsable(s)</w:t>
            </w:r>
          </w:p>
        </w:tc>
      </w:tr>
      <w:tr w:rsidR="000A3033" w:rsidRPr="00BC6B83" w14:paraId="51671D32" w14:textId="77777777" w:rsidTr="00974BDA">
        <w:trPr>
          <w:trHeight w:val="397"/>
        </w:trPr>
        <w:tc>
          <w:tcPr>
            <w:tcW w:w="1619" w:type="dxa"/>
            <w:vAlign w:val="center"/>
          </w:tcPr>
          <w:p w14:paraId="0AB155BD" w14:textId="62149FC0" w:rsidR="000A3033" w:rsidRPr="00BC6B83" w:rsidRDefault="00630EDD" w:rsidP="00A73646">
            <w:pPr>
              <w:pStyle w:val="31FTTABServices-Valid"/>
            </w:pPr>
            <w:r>
              <w:t>Avril</w:t>
            </w:r>
            <w:r w:rsidR="000A3033" w:rsidRPr="00BC6B83">
              <w:t xml:space="preserve"> </w:t>
            </w:r>
            <w:r w:rsidR="000A3033">
              <w:t>2025</w:t>
            </w:r>
          </w:p>
        </w:tc>
        <w:tc>
          <w:tcPr>
            <w:tcW w:w="1075" w:type="dxa"/>
            <w:vAlign w:val="center"/>
          </w:tcPr>
          <w:p w14:paraId="5032E530" w14:textId="77777777" w:rsidR="000A3033" w:rsidRDefault="000A3033" w:rsidP="00A73646">
            <w:pPr>
              <w:pStyle w:val="31FTTABServices-Valid"/>
            </w:pPr>
            <w:r>
              <w:t>1.0</w:t>
            </w:r>
          </w:p>
        </w:tc>
        <w:tc>
          <w:tcPr>
            <w:tcW w:w="6378" w:type="dxa"/>
            <w:vAlign w:val="center"/>
          </w:tcPr>
          <w:p w14:paraId="4B8F3EC0" w14:textId="77777777" w:rsidR="000A3033" w:rsidRPr="00BC6B83" w:rsidRDefault="000A3033" w:rsidP="00A73646">
            <w:pPr>
              <w:pStyle w:val="31FTTABServices-Valid"/>
            </w:pPr>
            <w:r w:rsidRPr="00BC6B83">
              <w:t>Version initiale</w:t>
            </w:r>
          </w:p>
        </w:tc>
      </w:tr>
    </w:tbl>
    <w:p w14:paraId="1E9FCA2B" w14:textId="77777777" w:rsidR="000A3033" w:rsidRDefault="000A3033" w:rsidP="000A3033">
      <w:pPr>
        <w:rPr>
          <w:rFonts w:cs="Arial"/>
          <w:szCs w:val="19"/>
        </w:rPr>
      </w:pPr>
    </w:p>
    <w:p w14:paraId="731BA2E4" w14:textId="77777777" w:rsidR="000A3033" w:rsidRDefault="000A3033"/>
    <w:sectPr w:rsidR="000A3033" w:rsidSect="00405CCA">
      <w:headerReference w:type="default" r:id="rId14"/>
      <w:type w:val="continuous"/>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7DA82" w14:textId="77777777" w:rsidR="00405CCA" w:rsidRDefault="00405CCA" w:rsidP="00405CCA">
      <w:pPr>
        <w:spacing w:after="0" w:line="240" w:lineRule="auto"/>
      </w:pPr>
      <w:r>
        <w:separator/>
      </w:r>
    </w:p>
  </w:endnote>
  <w:endnote w:type="continuationSeparator" w:id="0">
    <w:p w14:paraId="314B6E14" w14:textId="77777777" w:rsidR="00405CCA" w:rsidRDefault="00405CCA" w:rsidP="00405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45 Light">
    <w:altName w:val="Arial"/>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55 Roman">
    <w:altName w:val="Arial"/>
    <w:panose1 w:val="020B0500000000000000"/>
    <w:charset w:val="00"/>
    <w:family w:val="swiss"/>
    <w:notTrueType/>
    <w:pitch w:val="variable"/>
    <w:sig w:usb0="800000AF" w:usb1="4000004A" w:usb2="00000000" w:usb3="00000000" w:csb0="00000001" w:csb1="00000000"/>
  </w:font>
  <w:font w:name="Helvetica 35 Thin">
    <w:altName w:val="Arial"/>
    <w:panose1 w:val="020B0200000000000000"/>
    <w:charset w:val="00"/>
    <w:family w:val="swiss"/>
    <w:notTrueType/>
    <w:pitch w:val="variable"/>
    <w:sig w:usb0="800000AF" w:usb1="40000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316095"/>
      <w:docPartObj>
        <w:docPartGallery w:val="Page Numbers (Bottom of Page)"/>
        <w:docPartUnique/>
      </w:docPartObj>
    </w:sdtPr>
    <w:sdtEndPr/>
    <w:sdtContent>
      <w:p w14:paraId="5712FBF5" w14:textId="3C3A9B4E" w:rsidR="009C5964" w:rsidRDefault="009C5964" w:rsidP="004569F3">
        <w:pPr>
          <w:pStyle w:val="02FTNumpage"/>
        </w:pPr>
        <w:r w:rsidRPr="006F176C">
          <w:fldChar w:fldCharType="begin"/>
        </w:r>
        <w:r w:rsidRPr="006F176C">
          <w:instrText>PAGE   \* MERGEFORMAT</w:instrText>
        </w:r>
        <w:r w:rsidRPr="006F176C">
          <w:fldChar w:fldCharType="separate"/>
        </w:r>
        <w:r w:rsidR="007918EE" w:rsidRPr="007918EE">
          <w:rPr>
            <w:noProof/>
            <w:lang w:val="fr-FR"/>
          </w:rPr>
          <w:t>3</w:t>
        </w:r>
        <w:r w:rsidRPr="006F176C">
          <w:fldChar w:fldCharType="end"/>
        </w:r>
        <w:r w:rsidR="004569F3">
          <w:t>/</w:t>
        </w:r>
        <w:fldSimple w:instr=" NUMPAGES   \* MERGEFORMAT ">
          <w:r w:rsidR="007918EE">
            <w:rPr>
              <w:noProof/>
            </w:rPr>
            <w:t>3</w:t>
          </w:r>
        </w:fldSimple>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8A04" w14:textId="77777777" w:rsidR="00405CCA" w:rsidRDefault="00405CCA" w:rsidP="00405CCA">
      <w:pPr>
        <w:spacing w:after="0" w:line="240" w:lineRule="auto"/>
      </w:pPr>
      <w:r>
        <w:separator/>
      </w:r>
    </w:p>
  </w:footnote>
  <w:footnote w:type="continuationSeparator" w:id="0">
    <w:p w14:paraId="7E2730E4" w14:textId="77777777" w:rsidR="00405CCA" w:rsidRDefault="00405CCA" w:rsidP="00405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00E8" w14:textId="77777777" w:rsidR="00405CCA" w:rsidRPr="006443DD" w:rsidRDefault="00C85086" w:rsidP="000D35A7">
    <w:pPr>
      <w:pStyle w:val="01EnttePage1"/>
      <w:rPr>
        <w:lang w:val="fr-CH"/>
      </w:rPr>
    </w:pPr>
    <w:r w:rsidRPr="00405CCA">
      <w:rPr>
        <w:noProof/>
        <w:lang w:val="fr-CH" w:eastAsia="fr-CH"/>
      </w:rPr>
      <w:drawing>
        <wp:anchor distT="0" distB="0" distL="114300" distR="114300" simplePos="0" relativeHeight="251661312" behindDoc="0" locked="0" layoutInCell="1" allowOverlap="0" wp14:anchorId="4A4BBAD7" wp14:editId="564BB33B">
          <wp:simplePos x="0" y="0"/>
          <wp:positionH relativeFrom="column">
            <wp:posOffset>4568190</wp:posOffset>
          </wp:positionH>
          <wp:positionV relativeFrom="paragraph">
            <wp:posOffset>90170</wp:posOffset>
          </wp:positionV>
          <wp:extent cx="539750" cy="539750"/>
          <wp:effectExtent l="0" t="0" r="0" b="0"/>
          <wp:wrapNone/>
          <wp:docPr id="31" name="Image 31"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5CCA">
      <w:rPr>
        <w:noProof/>
        <w:lang w:val="fr-CH" w:eastAsia="fr-CH"/>
      </w:rPr>
      <w:drawing>
        <wp:anchor distT="0" distB="0" distL="114300" distR="114300" simplePos="0" relativeHeight="251660288" behindDoc="0" locked="0" layoutInCell="1" allowOverlap="1" wp14:anchorId="3127B234" wp14:editId="5AEC5193">
          <wp:simplePos x="0" y="0"/>
          <wp:positionH relativeFrom="column">
            <wp:posOffset>5111426</wp:posOffset>
          </wp:positionH>
          <wp:positionV relativeFrom="paragraph">
            <wp:posOffset>91584</wp:posOffset>
          </wp:positionV>
          <wp:extent cx="539750" cy="539750"/>
          <wp:effectExtent l="0" t="0" r="0" b="0"/>
          <wp:wrapNone/>
          <wp:docPr id="32" name="Image 32"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5CCA" w:rsidRPr="006443DD">
      <w:rPr>
        <w:lang w:val="fr-CH"/>
      </w:rPr>
      <w:t>Département de la mobilité, du territoire et de l’environnement</w:t>
    </w:r>
  </w:p>
  <w:p w14:paraId="242E8FF6" w14:textId="77777777" w:rsidR="00405CCA" w:rsidRDefault="00405CCA" w:rsidP="000D35A7">
    <w:pPr>
      <w:pStyle w:val="01EnttePage1"/>
    </w:pPr>
    <w:r w:rsidRPr="00405CCA">
      <w:t>Service du développement territorial</w:t>
    </w:r>
  </w:p>
  <w:p w14:paraId="29559561" w14:textId="77777777" w:rsidR="00405CCA" w:rsidRPr="00405CCA" w:rsidRDefault="00405CCA" w:rsidP="000D35A7">
    <w:pPr>
      <w:pStyle w:val="01EnttePage1"/>
    </w:pPr>
  </w:p>
  <w:p w14:paraId="535068E1" w14:textId="77777777" w:rsidR="00405CCA" w:rsidRPr="00405CCA" w:rsidRDefault="00405CCA" w:rsidP="000D35A7">
    <w:pPr>
      <w:pStyle w:val="01EnttePage1"/>
    </w:pPr>
    <w:r w:rsidRPr="00405CCA">
      <w:t xml:space="preserve">Departement für Mobilität, Raumentwicklung und Umwelt </w:t>
    </w:r>
  </w:p>
  <w:p w14:paraId="4ED453E2" w14:textId="77777777" w:rsidR="00405CCA" w:rsidRDefault="00405CCA" w:rsidP="000D35A7">
    <w:pPr>
      <w:pStyle w:val="01EnttePage1"/>
    </w:pPr>
    <w:r w:rsidRPr="00405CCA">
      <w:t>Dienststelle für Raumentwicklung</w:t>
    </w:r>
  </w:p>
  <w:p w14:paraId="42A2DE44" w14:textId="77777777" w:rsidR="00405CCA" w:rsidRDefault="00405CCA" w:rsidP="000D35A7">
    <w:pPr>
      <w:pStyle w:val="01EnttePage1"/>
    </w:pPr>
  </w:p>
  <w:p w14:paraId="7D35B662" w14:textId="77777777" w:rsidR="00405CCA" w:rsidRDefault="00405CCA" w:rsidP="000D35A7">
    <w:pPr>
      <w:pStyle w:val="01EnttePage1"/>
    </w:pPr>
  </w:p>
  <w:p w14:paraId="10A2CC15" w14:textId="77777777" w:rsidR="00C85086" w:rsidRDefault="00C85086" w:rsidP="000D35A7">
    <w:pPr>
      <w:pStyle w:val="01EnttePage1"/>
    </w:pPr>
  </w:p>
  <w:p w14:paraId="507C0C7B" w14:textId="77777777" w:rsidR="00405CCA" w:rsidRPr="00405CCA" w:rsidRDefault="00405CCA" w:rsidP="000D35A7">
    <w:pPr>
      <w:pStyle w:val="01EnttePage1"/>
    </w:pPr>
    <w:r>
      <w:rPr>
        <w:noProof/>
        <w:lang w:val="fr-CH" w:eastAsia="fr-CH"/>
      </w:rPr>
      <w:drawing>
        <wp:anchor distT="0" distB="0" distL="114300" distR="114300" simplePos="0" relativeHeight="251659264" behindDoc="0" locked="0" layoutInCell="1" allowOverlap="1" wp14:anchorId="370268B1" wp14:editId="7277248A">
          <wp:simplePos x="0" y="0"/>
          <wp:positionH relativeFrom="page">
            <wp:posOffset>207034</wp:posOffset>
          </wp:positionH>
          <wp:positionV relativeFrom="page">
            <wp:posOffset>353683</wp:posOffset>
          </wp:positionV>
          <wp:extent cx="1333500" cy="1162050"/>
          <wp:effectExtent l="0" t="0" r="0" b="0"/>
          <wp:wrapSquare wrapText="bothSides"/>
          <wp:docPr id="33" name="Image 33"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A9FBE" w14:textId="77777777" w:rsidR="00637088" w:rsidRPr="006443DD" w:rsidRDefault="00637088" w:rsidP="00637088">
    <w:pPr>
      <w:pStyle w:val="01EnttePage1"/>
      <w:ind w:left="1134"/>
      <w:rPr>
        <w:lang w:val="fr-CH"/>
      </w:rPr>
    </w:pPr>
    <w:r w:rsidRPr="006443DD">
      <w:rPr>
        <w:noProof/>
        <w:lang w:val="fr-CH" w:eastAsia="fr-CH"/>
      </w:rPr>
      <w:drawing>
        <wp:anchor distT="0" distB="0" distL="114300" distR="114300" simplePos="0" relativeHeight="251665408" behindDoc="0" locked="0" layoutInCell="1" allowOverlap="0" wp14:anchorId="3F82F4F6" wp14:editId="1DFC46AE">
          <wp:simplePos x="0" y="0"/>
          <wp:positionH relativeFrom="column">
            <wp:posOffset>5035550</wp:posOffset>
          </wp:positionH>
          <wp:positionV relativeFrom="paragraph">
            <wp:posOffset>4445</wp:posOffset>
          </wp:positionV>
          <wp:extent cx="539750" cy="539750"/>
          <wp:effectExtent l="0" t="0" r="0" b="0"/>
          <wp:wrapNone/>
          <wp:docPr id="4"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noProof/>
        <w:lang w:val="fr-CH" w:eastAsia="fr-CH"/>
      </w:rPr>
      <w:drawing>
        <wp:anchor distT="0" distB="0" distL="114300" distR="114300" simplePos="0" relativeHeight="251664384" behindDoc="0" locked="0" layoutInCell="1" allowOverlap="1" wp14:anchorId="7230355C" wp14:editId="3E7BF472">
          <wp:simplePos x="0" y="0"/>
          <wp:positionH relativeFrom="column">
            <wp:posOffset>4495800</wp:posOffset>
          </wp:positionH>
          <wp:positionV relativeFrom="paragraph">
            <wp:posOffset>5715</wp:posOffset>
          </wp:positionV>
          <wp:extent cx="539750" cy="539750"/>
          <wp:effectExtent l="0" t="0" r="0" b="0"/>
          <wp:wrapNone/>
          <wp:docPr id="5" name="Image 5"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CH" w:eastAsia="fr-CH"/>
      </w:rPr>
      <w:drawing>
        <wp:anchor distT="0" distB="0" distL="114300" distR="114300" simplePos="0" relativeHeight="251663360" behindDoc="0" locked="0" layoutInCell="1" allowOverlap="1" wp14:anchorId="345D9427" wp14:editId="050974BD">
          <wp:simplePos x="0" y="0"/>
          <wp:positionH relativeFrom="page">
            <wp:posOffset>213995</wp:posOffset>
          </wp:positionH>
          <wp:positionV relativeFrom="page">
            <wp:posOffset>362585</wp:posOffset>
          </wp:positionV>
          <wp:extent cx="1333500" cy="1162050"/>
          <wp:effectExtent l="0" t="0" r="0" b="0"/>
          <wp:wrapNone/>
          <wp:docPr id="6" name="Image 6"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43DD">
      <w:rPr>
        <w:lang w:val="fr-CH"/>
      </w:rPr>
      <w:t>Département de la mobilité, du territoire et de l’environnement</w:t>
    </w:r>
  </w:p>
  <w:p w14:paraId="269EDD85" w14:textId="77777777" w:rsidR="00637088" w:rsidRPr="006443DD" w:rsidRDefault="00637088" w:rsidP="00637088">
    <w:pPr>
      <w:pStyle w:val="01EnttePage1"/>
      <w:ind w:left="1134"/>
    </w:pPr>
    <w:r w:rsidRPr="006443DD">
      <w:t xml:space="preserve">Service du </w:t>
    </w:r>
    <w:proofErr w:type="spellStart"/>
    <w:r w:rsidRPr="006443DD">
      <w:t>développement</w:t>
    </w:r>
    <w:proofErr w:type="spellEnd"/>
    <w:r w:rsidRPr="006443DD">
      <w:t xml:space="preserve"> territorial</w:t>
    </w:r>
  </w:p>
  <w:p w14:paraId="37A4F236" w14:textId="77777777" w:rsidR="00637088" w:rsidRPr="006443DD" w:rsidRDefault="00637088" w:rsidP="00637088">
    <w:pPr>
      <w:pStyle w:val="01EnttePage1"/>
      <w:ind w:left="1134"/>
    </w:pPr>
    <w:r w:rsidRPr="006443DD">
      <w:t xml:space="preserve">Departement für Mobilität, Raumentwicklung und Umwelt </w:t>
    </w:r>
  </w:p>
  <w:p w14:paraId="4DECD29D" w14:textId="77777777" w:rsidR="00637088" w:rsidRDefault="00637088" w:rsidP="00637088">
    <w:pPr>
      <w:pStyle w:val="01EnttePage1"/>
      <w:ind w:left="1134"/>
    </w:pPr>
    <w:r w:rsidRPr="006443DD">
      <w:t>Dienststelle für Raumentwicklung</w:t>
    </w:r>
  </w:p>
  <w:p w14:paraId="1158B870" w14:textId="77777777" w:rsidR="00637088" w:rsidRPr="006443DD" w:rsidRDefault="00637088" w:rsidP="00637088">
    <w:pPr>
      <w:pStyle w:val="01EnttePage1"/>
    </w:pPr>
  </w:p>
  <w:p w14:paraId="13A86DA4" w14:textId="77777777" w:rsidR="00637088" w:rsidRPr="006443DD" w:rsidRDefault="00637088" w:rsidP="00637088">
    <w:pPr>
      <w:pStyle w:val="En-tte"/>
      <w:tabs>
        <w:tab w:val="clear" w:pos="4536"/>
      </w:tabs>
      <w:rPr>
        <w:lang w:val="de-CH"/>
      </w:rPr>
    </w:pPr>
  </w:p>
  <w:p w14:paraId="65E83B9E" w14:textId="77777777" w:rsidR="006443DD" w:rsidRPr="00637088" w:rsidRDefault="006443DD" w:rsidP="00637088">
    <w:pPr>
      <w:pStyle w:val="En-tte"/>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F285" w14:textId="77777777" w:rsidR="000D35A7" w:rsidRPr="000D35A7" w:rsidRDefault="00994E57" w:rsidP="000D35A7">
    <w:pPr>
      <w:pStyle w:val="03FTEnttePage2"/>
    </w:pPr>
    <w:r w:rsidRPr="00994E57">
      <w:t xml:space="preserve">Article-type – </w:t>
    </w:r>
    <w:r w:rsidR="005854F3" w:rsidRPr="005854F3">
      <w:t>Gestion de la mobilité et du stationnement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A1F15"/>
    <w:multiLevelType w:val="hybridMultilevel"/>
    <w:tmpl w:val="B5BC695E"/>
    <w:lvl w:ilvl="0" w:tplc="AA54CD1E">
      <w:start w:val="1"/>
      <w:numFmt w:val="lowerLetter"/>
      <w:pStyle w:val="42Artlettre"/>
      <w:lvlText w:val="%1."/>
      <w:lvlJc w:val="left"/>
      <w:pPr>
        <w:ind w:left="1060"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1780" w:hanging="360"/>
      </w:pPr>
    </w:lvl>
    <w:lvl w:ilvl="2" w:tplc="100C001B" w:tentative="1">
      <w:start w:val="1"/>
      <w:numFmt w:val="lowerRoman"/>
      <w:lvlText w:val="%3."/>
      <w:lvlJc w:val="right"/>
      <w:pPr>
        <w:ind w:left="2500" w:hanging="180"/>
      </w:pPr>
    </w:lvl>
    <w:lvl w:ilvl="3" w:tplc="100C000F" w:tentative="1">
      <w:start w:val="1"/>
      <w:numFmt w:val="decimal"/>
      <w:lvlText w:val="%4."/>
      <w:lvlJc w:val="left"/>
      <w:pPr>
        <w:ind w:left="3220" w:hanging="360"/>
      </w:pPr>
    </w:lvl>
    <w:lvl w:ilvl="4" w:tplc="100C0019" w:tentative="1">
      <w:start w:val="1"/>
      <w:numFmt w:val="lowerLetter"/>
      <w:lvlText w:val="%5."/>
      <w:lvlJc w:val="left"/>
      <w:pPr>
        <w:ind w:left="3940" w:hanging="360"/>
      </w:pPr>
    </w:lvl>
    <w:lvl w:ilvl="5" w:tplc="100C001B" w:tentative="1">
      <w:start w:val="1"/>
      <w:numFmt w:val="lowerRoman"/>
      <w:lvlText w:val="%6."/>
      <w:lvlJc w:val="right"/>
      <w:pPr>
        <w:ind w:left="4660" w:hanging="180"/>
      </w:pPr>
    </w:lvl>
    <w:lvl w:ilvl="6" w:tplc="100C000F" w:tentative="1">
      <w:start w:val="1"/>
      <w:numFmt w:val="decimal"/>
      <w:lvlText w:val="%7."/>
      <w:lvlJc w:val="left"/>
      <w:pPr>
        <w:ind w:left="5380" w:hanging="360"/>
      </w:pPr>
    </w:lvl>
    <w:lvl w:ilvl="7" w:tplc="100C0019" w:tentative="1">
      <w:start w:val="1"/>
      <w:numFmt w:val="lowerLetter"/>
      <w:lvlText w:val="%8."/>
      <w:lvlJc w:val="left"/>
      <w:pPr>
        <w:ind w:left="6100" w:hanging="360"/>
      </w:pPr>
    </w:lvl>
    <w:lvl w:ilvl="8" w:tplc="100C001B" w:tentative="1">
      <w:start w:val="1"/>
      <w:numFmt w:val="lowerRoman"/>
      <w:lvlText w:val="%9."/>
      <w:lvlJc w:val="right"/>
      <w:pPr>
        <w:ind w:left="6820" w:hanging="180"/>
      </w:pPr>
    </w:lvl>
  </w:abstractNum>
  <w:abstractNum w:abstractNumId="1" w15:restartNumberingAfterBreak="0">
    <w:nsid w:val="58D66160"/>
    <w:multiLevelType w:val="hybridMultilevel"/>
    <w:tmpl w:val="FE64F230"/>
    <w:lvl w:ilvl="0" w:tplc="D75A3ACC">
      <w:start w:val="1"/>
      <w:numFmt w:val="decimal"/>
      <w:pStyle w:val="43ArtChiffre"/>
      <w:lvlText w:val="%1."/>
      <w:lvlJc w:val="left"/>
      <w:pPr>
        <w:ind w:left="1097" w:hanging="360"/>
      </w:pPr>
      <w:rPr>
        <w:rFonts w:ascii="Helvetica 45 Light" w:hAnsi="Helvetica 45 Light" w:hint="default"/>
        <w:b w:val="0"/>
        <w:i w:val="0"/>
        <w:caps w:val="0"/>
        <w:strike w:val="0"/>
        <w:dstrike w:val="0"/>
        <w:vanish w:val="0"/>
        <w:sz w:val="19"/>
        <w:vertAlign w:val="baseline"/>
      </w:rPr>
    </w:lvl>
    <w:lvl w:ilvl="1" w:tplc="100C0019" w:tentative="1">
      <w:start w:val="1"/>
      <w:numFmt w:val="lowerLetter"/>
      <w:lvlText w:val="%2."/>
      <w:lvlJc w:val="left"/>
      <w:pPr>
        <w:ind w:left="2177" w:hanging="360"/>
      </w:pPr>
    </w:lvl>
    <w:lvl w:ilvl="2" w:tplc="100C001B" w:tentative="1">
      <w:start w:val="1"/>
      <w:numFmt w:val="lowerRoman"/>
      <w:lvlText w:val="%3."/>
      <w:lvlJc w:val="right"/>
      <w:pPr>
        <w:ind w:left="2897" w:hanging="180"/>
      </w:pPr>
    </w:lvl>
    <w:lvl w:ilvl="3" w:tplc="100C000F" w:tentative="1">
      <w:start w:val="1"/>
      <w:numFmt w:val="decimal"/>
      <w:lvlText w:val="%4."/>
      <w:lvlJc w:val="left"/>
      <w:pPr>
        <w:ind w:left="3617" w:hanging="360"/>
      </w:pPr>
    </w:lvl>
    <w:lvl w:ilvl="4" w:tplc="100C0019" w:tentative="1">
      <w:start w:val="1"/>
      <w:numFmt w:val="lowerLetter"/>
      <w:lvlText w:val="%5."/>
      <w:lvlJc w:val="left"/>
      <w:pPr>
        <w:ind w:left="4337" w:hanging="360"/>
      </w:pPr>
    </w:lvl>
    <w:lvl w:ilvl="5" w:tplc="100C001B" w:tentative="1">
      <w:start w:val="1"/>
      <w:numFmt w:val="lowerRoman"/>
      <w:lvlText w:val="%6."/>
      <w:lvlJc w:val="right"/>
      <w:pPr>
        <w:ind w:left="5057" w:hanging="180"/>
      </w:pPr>
    </w:lvl>
    <w:lvl w:ilvl="6" w:tplc="100C000F" w:tentative="1">
      <w:start w:val="1"/>
      <w:numFmt w:val="decimal"/>
      <w:lvlText w:val="%7."/>
      <w:lvlJc w:val="left"/>
      <w:pPr>
        <w:ind w:left="5777" w:hanging="360"/>
      </w:pPr>
    </w:lvl>
    <w:lvl w:ilvl="7" w:tplc="100C0019" w:tentative="1">
      <w:start w:val="1"/>
      <w:numFmt w:val="lowerLetter"/>
      <w:lvlText w:val="%8."/>
      <w:lvlJc w:val="left"/>
      <w:pPr>
        <w:ind w:left="6497" w:hanging="360"/>
      </w:pPr>
    </w:lvl>
    <w:lvl w:ilvl="8" w:tplc="100C001B" w:tentative="1">
      <w:start w:val="1"/>
      <w:numFmt w:val="lowerRoman"/>
      <w:lvlText w:val="%9."/>
      <w:lvlJc w:val="right"/>
      <w:pPr>
        <w:ind w:left="7217" w:hanging="180"/>
      </w:pPr>
    </w:lvl>
  </w:abstractNum>
  <w:abstractNum w:abstractNumId="2" w15:restartNumberingAfterBreak="0">
    <w:nsid w:val="5B7A337F"/>
    <w:multiLevelType w:val="hybridMultilevel"/>
    <w:tmpl w:val="A4F0FB54"/>
    <w:lvl w:ilvl="0" w:tplc="03FAE61E">
      <w:start w:val="1"/>
      <w:numFmt w:val="bullet"/>
      <w:pStyle w:val="44ArtTiret"/>
      <w:lvlText w:val=""/>
      <w:lvlJc w:val="left"/>
      <w:pPr>
        <w:ind w:left="1817" w:hanging="360"/>
      </w:pPr>
      <w:rPr>
        <w:rFonts w:ascii="Symbol" w:hAnsi="Symbol" w:hint="default"/>
      </w:rPr>
    </w:lvl>
    <w:lvl w:ilvl="1" w:tplc="100C0003" w:tentative="1">
      <w:start w:val="1"/>
      <w:numFmt w:val="bullet"/>
      <w:lvlText w:val="o"/>
      <w:lvlJc w:val="left"/>
      <w:pPr>
        <w:ind w:left="2537" w:hanging="360"/>
      </w:pPr>
      <w:rPr>
        <w:rFonts w:ascii="Courier New" w:hAnsi="Courier New" w:cs="Courier New" w:hint="default"/>
      </w:rPr>
    </w:lvl>
    <w:lvl w:ilvl="2" w:tplc="100C0005" w:tentative="1">
      <w:start w:val="1"/>
      <w:numFmt w:val="bullet"/>
      <w:lvlText w:val=""/>
      <w:lvlJc w:val="left"/>
      <w:pPr>
        <w:ind w:left="3257" w:hanging="360"/>
      </w:pPr>
      <w:rPr>
        <w:rFonts w:ascii="Wingdings" w:hAnsi="Wingdings" w:hint="default"/>
      </w:rPr>
    </w:lvl>
    <w:lvl w:ilvl="3" w:tplc="100C0001" w:tentative="1">
      <w:start w:val="1"/>
      <w:numFmt w:val="bullet"/>
      <w:lvlText w:val=""/>
      <w:lvlJc w:val="left"/>
      <w:pPr>
        <w:ind w:left="3977" w:hanging="360"/>
      </w:pPr>
      <w:rPr>
        <w:rFonts w:ascii="Symbol" w:hAnsi="Symbol" w:hint="default"/>
      </w:rPr>
    </w:lvl>
    <w:lvl w:ilvl="4" w:tplc="100C0003" w:tentative="1">
      <w:start w:val="1"/>
      <w:numFmt w:val="bullet"/>
      <w:lvlText w:val="o"/>
      <w:lvlJc w:val="left"/>
      <w:pPr>
        <w:ind w:left="4697" w:hanging="360"/>
      </w:pPr>
      <w:rPr>
        <w:rFonts w:ascii="Courier New" w:hAnsi="Courier New" w:cs="Courier New" w:hint="default"/>
      </w:rPr>
    </w:lvl>
    <w:lvl w:ilvl="5" w:tplc="100C0005" w:tentative="1">
      <w:start w:val="1"/>
      <w:numFmt w:val="bullet"/>
      <w:lvlText w:val=""/>
      <w:lvlJc w:val="left"/>
      <w:pPr>
        <w:ind w:left="5417" w:hanging="360"/>
      </w:pPr>
      <w:rPr>
        <w:rFonts w:ascii="Wingdings" w:hAnsi="Wingdings" w:hint="default"/>
      </w:rPr>
    </w:lvl>
    <w:lvl w:ilvl="6" w:tplc="100C0001" w:tentative="1">
      <w:start w:val="1"/>
      <w:numFmt w:val="bullet"/>
      <w:lvlText w:val=""/>
      <w:lvlJc w:val="left"/>
      <w:pPr>
        <w:ind w:left="6137" w:hanging="360"/>
      </w:pPr>
      <w:rPr>
        <w:rFonts w:ascii="Symbol" w:hAnsi="Symbol" w:hint="default"/>
      </w:rPr>
    </w:lvl>
    <w:lvl w:ilvl="7" w:tplc="100C0003" w:tentative="1">
      <w:start w:val="1"/>
      <w:numFmt w:val="bullet"/>
      <w:lvlText w:val="o"/>
      <w:lvlJc w:val="left"/>
      <w:pPr>
        <w:ind w:left="6857" w:hanging="360"/>
      </w:pPr>
      <w:rPr>
        <w:rFonts w:ascii="Courier New" w:hAnsi="Courier New" w:cs="Courier New" w:hint="default"/>
      </w:rPr>
    </w:lvl>
    <w:lvl w:ilvl="8" w:tplc="100C0005" w:tentative="1">
      <w:start w:val="1"/>
      <w:numFmt w:val="bullet"/>
      <w:lvlText w:val=""/>
      <w:lvlJc w:val="left"/>
      <w:pPr>
        <w:ind w:left="7577" w:hanging="360"/>
      </w:pPr>
      <w:rPr>
        <w:rFonts w:ascii="Wingdings" w:hAnsi="Wingdings" w:hint="default"/>
      </w:rPr>
    </w:lvl>
  </w:abstractNum>
  <w:abstractNum w:abstractNumId="3" w15:restartNumberingAfterBreak="0">
    <w:nsid w:val="792C5B38"/>
    <w:multiLevelType w:val="hybridMultilevel"/>
    <w:tmpl w:val="179656A2"/>
    <w:lvl w:ilvl="0" w:tplc="7DCA18B4">
      <w:start w:val="1"/>
      <w:numFmt w:val="decimal"/>
      <w:pStyle w:val="41Artalina"/>
      <w:lvlText w:val="%1"/>
      <w:lvlJc w:val="left"/>
      <w:pPr>
        <w:ind w:left="360" w:hanging="360"/>
      </w:pPr>
      <w:rPr>
        <w:rFonts w:ascii="Helvetica 45 Light" w:hAnsi="Helvetica 45 Light" w:hint="default"/>
        <w:b w:val="0"/>
        <w:i w:val="0"/>
        <w:caps w:val="0"/>
        <w:strike w:val="0"/>
        <w:dstrike w:val="0"/>
        <w:vanish w:val="0"/>
        <w:w w:val="80"/>
        <w:position w:val="8"/>
        <w:sz w:val="19"/>
        <w:vertAlign w:val="baseline"/>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748529131">
    <w:abstractNumId w:val="3"/>
  </w:num>
  <w:num w:numId="2" w16cid:durableId="2051105620">
    <w:abstractNumId w:val="0"/>
  </w:num>
  <w:num w:numId="3" w16cid:durableId="1456288849">
    <w:abstractNumId w:val="0"/>
    <w:lvlOverride w:ilvl="0">
      <w:startOverride w:val="1"/>
    </w:lvlOverride>
  </w:num>
  <w:num w:numId="4" w16cid:durableId="1289118070">
    <w:abstractNumId w:val="0"/>
    <w:lvlOverride w:ilvl="0">
      <w:startOverride w:val="1"/>
    </w:lvlOverride>
  </w:num>
  <w:num w:numId="5" w16cid:durableId="1995835525">
    <w:abstractNumId w:val="0"/>
    <w:lvlOverride w:ilvl="0">
      <w:startOverride w:val="1"/>
    </w:lvlOverride>
  </w:num>
  <w:num w:numId="6" w16cid:durableId="1517041279">
    <w:abstractNumId w:val="0"/>
    <w:lvlOverride w:ilvl="0">
      <w:startOverride w:val="1"/>
    </w:lvlOverride>
  </w:num>
  <w:num w:numId="7" w16cid:durableId="1774863347">
    <w:abstractNumId w:val="0"/>
    <w:lvlOverride w:ilvl="0">
      <w:startOverride w:val="1"/>
    </w:lvlOverride>
  </w:num>
  <w:num w:numId="8" w16cid:durableId="1696156174">
    <w:abstractNumId w:val="0"/>
    <w:lvlOverride w:ilvl="0">
      <w:startOverride w:val="1"/>
    </w:lvlOverride>
  </w:num>
  <w:num w:numId="9" w16cid:durableId="984552917">
    <w:abstractNumId w:val="0"/>
    <w:lvlOverride w:ilvl="0">
      <w:startOverride w:val="1"/>
    </w:lvlOverride>
  </w:num>
  <w:num w:numId="10" w16cid:durableId="1945258410">
    <w:abstractNumId w:val="1"/>
  </w:num>
  <w:num w:numId="11" w16cid:durableId="778447288">
    <w:abstractNumId w:val="1"/>
    <w:lvlOverride w:ilvl="0">
      <w:startOverride w:val="1"/>
    </w:lvlOverride>
  </w:num>
  <w:num w:numId="12" w16cid:durableId="544833201">
    <w:abstractNumId w:val="0"/>
    <w:lvlOverride w:ilvl="0">
      <w:startOverride w:val="1"/>
    </w:lvlOverride>
  </w:num>
  <w:num w:numId="13" w16cid:durableId="1387534595">
    <w:abstractNumId w:val="0"/>
    <w:lvlOverride w:ilvl="0">
      <w:startOverride w:val="1"/>
    </w:lvlOverride>
  </w:num>
  <w:num w:numId="14" w16cid:durableId="1901206085">
    <w:abstractNumId w:val="1"/>
    <w:lvlOverride w:ilvl="0">
      <w:startOverride w:val="1"/>
    </w:lvlOverride>
  </w:num>
  <w:num w:numId="15" w16cid:durableId="1185751236">
    <w:abstractNumId w:val="1"/>
    <w:lvlOverride w:ilvl="0">
      <w:startOverride w:val="1"/>
    </w:lvlOverride>
  </w:num>
  <w:num w:numId="16" w16cid:durableId="770319616">
    <w:abstractNumId w:val="0"/>
    <w:lvlOverride w:ilvl="0">
      <w:startOverride w:val="1"/>
    </w:lvlOverride>
  </w:num>
  <w:num w:numId="17" w16cid:durableId="469977067">
    <w:abstractNumId w:val="2"/>
  </w:num>
  <w:num w:numId="18" w16cid:durableId="2091195378">
    <w:abstractNumId w:val="3"/>
    <w:lvlOverride w:ilvl="0">
      <w:startOverride w:val="1"/>
    </w:lvlOverride>
  </w:num>
  <w:num w:numId="19" w16cid:durableId="127092115">
    <w:abstractNumId w:val="3"/>
    <w:lvlOverride w:ilvl="0">
      <w:startOverride w:val="1"/>
    </w:lvlOverride>
  </w:num>
  <w:num w:numId="20" w16cid:durableId="863976926">
    <w:abstractNumId w:val="3"/>
    <w:lvlOverride w:ilvl="0">
      <w:startOverride w:val="1"/>
    </w:lvlOverride>
  </w:num>
  <w:num w:numId="21" w16cid:durableId="47463166">
    <w:abstractNumId w:val="3"/>
    <w:lvlOverride w:ilvl="0">
      <w:startOverride w:val="1"/>
    </w:lvlOverride>
  </w:num>
  <w:num w:numId="22" w16cid:durableId="178280140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180"/>
    <w:rsid w:val="00016600"/>
    <w:rsid w:val="000251E1"/>
    <w:rsid w:val="00030019"/>
    <w:rsid w:val="00053031"/>
    <w:rsid w:val="00071F0A"/>
    <w:rsid w:val="0008022E"/>
    <w:rsid w:val="000A3033"/>
    <w:rsid w:val="000A525B"/>
    <w:rsid w:val="000B3107"/>
    <w:rsid w:val="000D35A7"/>
    <w:rsid w:val="000F2FD8"/>
    <w:rsid w:val="0012379E"/>
    <w:rsid w:val="00130FA4"/>
    <w:rsid w:val="00130FC9"/>
    <w:rsid w:val="001667ED"/>
    <w:rsid w:val="001A45F8"/>
    <w:rsid w:val="001F6318"/>
    <w:rsid w:val="002064B0"/>
    <w:rsid w:val="00223D12"/>
    <w:rsid w:val="00246A37"/>
    <w:rsid w:val="002645B0"/>
    <w:rsid w:val="002821AA"/>
    <w:rsid w:val="002D00CB"/>
    <w:rsid w:val="002D39B8"/>
    <w:rsid w:val="003072BF"/>
    <w:rsid w:val="00316112"/>
    <w:rsid w:val="00341A77"/>
    <w:rsid w:val="00354CCB"/>
    <w:rsid w:val="00384298"/>
    <w:rsid w:val="003D2211"/>
    <w:rsid w:val="00405CCA"/>
    <w:rsid w:val="004103A6"/>
    <w:rsid w:val="004569F3"/>
    <w:rsid w:val="00456C09"/>
    <w:rsid w:val="00461A01"/>
    <w:rsid w:val="004B56FD"/>
    <w:rsid w:val="004F3DC9"/>
    <w:rsid w:val="0051222D"/>
    <w:rsid w:val="0051358C"/>
    <w:rsid w:val="005238FB"/>
    <w:rsid w:val="00532C02"/>
    <w:rsid w:val="0054760A"/>
    <w:rsid w:val="005601D3"/>
    <w:rsid w:val="005854F3"/>
    <w:rsid w:val="00592B04"/>
    <w:rsid w:val="005B0B8C"/>
    <w:rsid w:val="006153DB"/>
    <w:rsid w:val="00630EDD"/>
    <w:rsid w:val="00637088"/>
    <w:rsid w:val="00641516"/>
    <w:rsid w:val="006443DD"/>
    <w:rsid w:val="006654A7"/>
    <w:rsid w:val="00695C63"/>
    <w:rsid w:val="006B3A05"/>
    <w:rsid w:val="006F176C"/>
    <w:rsid w:val="006F39F3"/>
    <w:rsid w:val="00717943"/>
    <w:rsid w:val="007505AB"/>
    <w:rsid w:val="00752F75"/>
    <w:rsid w:val="00756854"/>
    <w:rsid w:val="00775C40"/>
    <w:rsid w:val="007766F5"/>
    <w:rsid w:val="00787BFB"/>
    <w:rsid w:val="007918EE"/>
    <w:rsid w:val="00792E86"/>
    <w:rsid w:val="007A3538"/>
    <w:rsid w:val="007B5B28"/>
    <w:rsid w:val="007B681A"/>
    <w:rsid w:val="007C6C86"/>
    <w:rsid w:val="007C7458"/>
    <w:rsid w:val="00816E57"/>
    <w:rsid w:val="00833B7D"/>
    <w:rsid w:val="00846F92"/>
    <w:rsid w:val="00854890"/>
    <w:rsid w:val="008609DE"/>
    <w:rsid w:val="00860C52"/>
    <w:rsid w:val="008A2751"/>
    <w:rsid w:val="008A4B77"/>
    <w:rsid w:val="008F1CBB"/>
    <w:rsid w:val="0095212F"/>
    <w:rsid w:val="009636E0"/>
    <w:rsid w:val="00994E57"/>
    <w:rsid w:val="00995C77"/>
    <w:rsid w:val="009A540E"/>
    <w:rsid w:val="009B7BCE"/>
    <w:rsid w:val="009C5964"/>
    <w:rsid w:val="00A00942"/>
    <w:rsid w:val="00A17336"/>
    <w:rsid w:val="00A21415"/>
    <w:rsid w:val="00A34F69"/>
    <w:rsid w:val="00A73646"/>
    <w:rsid w:val="00AA6168"/>
    <w:rsid w:val="00AB142B"/>
    <w:rsid w:val="00B07B27"/>
    <w:rsid w:val="00B96731"/>
    <w:rsid w:val="00BC2CF3"/>
    <w:rsid w:val="00BE3F1D"/>
    <w:rsid w:val="00BE4449"/>
    <w:rsid w:val="00BE5AEB"/>
    <w:rsid w:val="00C223E9"/>
    <w:rsid w:val="00C33180"/>
    <w:rsid w:val="00C85086"/>
    <w:rsid w:val="00CB084C"/>
    <w:rsid w:val="00CB5E16"/>
    <w:rsid w:val="00D07984"/>
    <w:rsid w:val="00D3206C"/>
    <w:rsid w:val="00D45A64"/>
    <w:rsid w:val="00D47E13"/>
    <w:rsid w:val="00D50011"/>
    <w:rsid w:val="00D60EE4"/>
    <w:rsid w:val="00D657D5"/>
    <w:rsid w:val="00DA3B54"/>
    <w:rsid w:val="00DA4E97"/>
    <w:rsid w:val="00DD6E34"/>
    <w:rsid w:val="00E343F3"/>
    <w:rsid w:val="00EB5DF0"/>
    <w:rsid w:val="00EC6609"/>
    <w:rsid w:val="00ED795C"/>
    <w:rsid w:val="00F10203"/>
    <w:rsid w:val="00F20184"/>
    <w:rsid w:val="00F25E78"/>
    <w:rsid w:val="00F52776"/>
    <w:rsid w:val="00F618AC"/>
    <w:rsid w:val="00F66244"/>
    <w:rsid w:val="00F77E4C"/>
    <w:rsid w:val="00F83CBE"/>
    <w:rsid w:val="00F9091E"/>
    <w:rsid w:val="00F9236E"/>
    <w:rsid w:val="00F96A37"/>
    <w:rsid w:val="00FB25B0"/>
    <w:rsid w:val="00FD45A3"/>
    <w:rsid w:val="00FE7B9A"/>
    <w:rsid w:val="00FF326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A1BCD14"/>
  <w15:chartTrackingRefBased/>
  <w15:docId w15:val="{25BEB064-400F-4CE1-9863-F194F460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0_FT_Corps texte"/>
    <w:qFormat/>
    <w:rsid w:val="00C33180"/>
    <w:pPr>
      <w:spacing w:after="80" w:line="252" w:lineRule="auto"/>
      <w:jc w:val="both"/>
    </w:pPr>
    <w:rPr>
      <w:rFonts w:ascii="Helvetica 45 Light" w:hAnsi="Helvetica 45 Light"/>
      <w:sz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CCA"/>
    <w:pPr>
      <w:tabs>
        <w:tab w:val="center" w:pos="4536"/>
        <w:tab w:val="right" w:pos="9072"/>
      </w:tabs>
      <w:spacing w:after="0" w:line="240" w:lineRule="auto"/>
    </w:pPr>
  </w:style>
  <w:style w:type="character" w:customStyle="1" w:styleId="En-tteCar">
    <w:name w:val="En-tête Car"/>
    <w:basedOn w:val="Policepardfaut"/>
    <w:link w:val="En-tte"/>
    <w:uiPriority w:val="99"/>
    <w:rsid w:val="00405CCA"/>
    <w:rPr>
      <w:rFonts w:ascii="Helvetica 45 Light" w:hAnsi="Helvetica 45 Light"/>
      <w:sz w:val="19"/>
    </w:rPr>
  </w:style>
  <w:style w:type="paragraph" w:styleId="Pieddepage">
    <w:name w:val="footer"/>
    <w:basedOn w:val="Normal"/>
    <w:link w:val="PieddepageCar"/>
    <w:uiPriority w:val="99"/>
    <w:unhideWhenUsed/>
    <w:rsid w:val="00405C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CCA"/>
    <w:rPr>
      <w:rFonts w:ascii="Helvetica 45 Light" w:hAnsi="Helvetica 45 Light"/>
      <w:sz w:val="19"/>
    </w:rPr>
  </w:style>
  <w:style w:type="paragraph" w:customStyle="1" w:styleId="ACEn-tte">
    <w:name w:val="_AC_En-tête"/>
    <w:basedOn w:val="Normal"/>
    <w:rsid w:val="00405CCA"/>
    <w:pPr>
      <w:spacing w:after="0" w:line="200" w:lineRule="exact"/>
      <w:jc w:val="left"/>
    </w:pPr>
    <w:rPr>
      <w:rFonts w:ascii="Arial Narrow" w:eastAsia="Times" w:hAnsi="Arial Narrow" w:cs="Times New Roman"/>
      <w:sz w:val="16"/>
      <w:szCs w:val="20"/>
      <w:lang w:val="fr-FR" w:eastAsia="fr-FR"/>
    </w:rPr>
  </w:style>
  <w:style w:type="paragraph" w:customStyle="1" w:styleId="21Espaceen-tte">
    <w:name w:val="21. Espace en-tête"/>
    <w:basedOn w:val="Pieddepage"/>
    <w:semiHidden/>
    <w:rsid w:val="00405CCA"/>
    <w:pPr>
      <w:tabs>
        <w:tab w:val="clear" w:pos="4536"/>
        <w:tab w:val="clear" w:pos="9072"/>
      </w:tabs>
      <w:spacing w:after="1400" w:line="200" w:lineRule="exact"/>
      <w:jc w:val="left"/>
    </w:pPr>
    <w:rPr>
      <w:rFonts w:ascii="Arial" w:eastAsia="Times New Roman" w:hAnsi="Arial" w:cs="Times New Roman"/>
      <w:sz w:val="20"/>
      <w:szCs w:val="20"/>
      <w:lang w:eastAsia="fr-FR"/>
    </w:rPr>
  </w:style>
  <w:style w:type="paragraph" w:customStyle="1" w:styleId="02FTNumpage">
    <w:name w:val="02_FT_Num_page"/>
    <w:basedOn w:val="Pieddepage"/>
    <w:link w:val="02FTNumpageCar"/>
    <w:qFormat/>
    <w:rsid w:val="009C5964"/>
    <w:pPr>
      <w:jc w:val="right"/>
    </w:pPr>
    <w:rPr>
      <w:rFonts w:ascii="Helvetica 55 Roman" w:hAnsi="Helvetica 55 Roman"/>
      <w:b/>
      <w:sz w:val="16"/>
    </w:rPr>
  </w:style>
  <w:style w:type="paragraph" w:customStyle="1" w:styleId="01EnttePage1">
    <w:name w:val="01_Entête_Page1"/>
    <w:basedOn w:val="Normal"/>
    <w:link w:val="01EnttePage1Car"/>
    <w:qFormat/>
    <w:rsid w:val="00F83CBE"/>
    <w:pPr>
      <w:spacing w:after="40"/>
    </w:pPr>
    <w:rPr>
      <w:rFonts w:ascii="Helvetica 35 Thin" w:hAnsi="Helvetica 35 Thin"/>
      <w:b/>
      <w:sz w:val="14"/>
      <w:szCs w:val="14"/>
      <w:lang w:val="de-CH"/>
    </w:rPr>
  </w:style>
  <w:style w:type="character" w:customStyle="1" w:styleId="02FTNumpageCar">
    <w:name w:val="02_FT_Num_page Car"/>
    <w:basedOn w:val="PieddepageCar"/>
    <w:link w:val="02FTNumpage"/>
    <w:rsid w:val="009C5964"/>
    <w:rPr>
      <w:rFonts w:ascii="Helvetica 55 Roman" w:hAnsi="Helvetica 55 Roman"/>
      <w:b/>
      <w:sz w:val="16"/>
    </w:rPr>
  </w:style>
  <w:style w:type="paragraph" w:customStyle="1" w:styleId="20Fichethmatique">
    <w:name w:val="20_Fiche thématique"/>
    <w:basedOn w:val="Normal"/>
    <w:link w:val="20FichethmatiqueCar"/>
    <w:qFormat/>
    <w:rsid w:val="007A3538"/>
    <w:rPr>
      <w:sz w:val="30"/>
    </w:rPr>
  </w:style>
  <w:style w:type="character" w:customStyle="1" w:styleId="01EnttePage1Car">
    <w:name w:val="01_Entête_Page1 Car"/>
    <w:basedOn w:val="Policepardfaut"/>
    <w:link w:val="01EnttePage1"/>
    <w:rsid w:val="00F83CBE"/>
    <w:rPr>
      <w:rFonts w:ascii="Helvetica 35 Thin" w:hAnsi="Helvetica 35 Thin"/>
      <w:b/>
      <w:sz w:val="14"/>
      <w:szCs w:val="14"/>
      <w:lang w:val="de-CH"/>
    </w:rPr>
  </w:style>
  <w:style w:type="paragraph" w:customStyle="1" w:styleId="21FTTitre">
    <w:name w:val="21_FT_Titre"/>
    <w:basedOn w:val="Normal"/>
    <w:link w:val="21FTTitreCar"/>
    <w:qFormat/>
    <w:rsid w:val="00F20184"/>
    <w:pPr>
      <w:spacing w:before="40" w:after="120"/>
    </w:pPr>
    <w:rPr>
      <w:rFonts w:ascii="Helvetica 35 Thin" w:hAnsi="Helvetica 35 Thin"/>
      <w:color w:val="FF0000"/>
      <w:sz w:val="36"/>
    </w:rPr>
  </w:style>
  <w:style w:type="character" w:customStyle="1" w:styleId="20FichethmatiqueCar">
    <w:name w:val="20_Fiche thématique Car"/>
    <w:basedOn w:val="Policepardfaut"/>
    <w:link w:val="20Fichethmatique"/>
    <w:rsid w:val="007A3538"/>
    <w:rPr>
      <w:rFonts w:ascii="Helvetica 45 Light" w:hAnsi="Helvetica 45 Light"/>
      <w:sz w:val="30"/>
    </w:rPr>
  </w:style>
  <w:style w:type="paragraph" w:customStyle="1" w:styleId="22FTTitreparagraphe">
    <w:name w:val="22_FT_Titre paragraphe"/>
    <w:basedOn w:val="Normal"/>
    <w:link w:val="22FTTitreparagrapheCar"/>
    <w:qFormat/>
    <w:rsid w:val="00071F0A"/>
    <w:pPr>
      <w:spacing w:before="120" w:after="120"/>
    </w:pPr>
    <w:rPr>
      <w:rFonts w:ascii="Helvetica 55 Roman" w:hAnsi="Helvetica 55 Roman"/>
      <w:b/>
      <w:sz w:val="21"/>
    </w:rPr>
  </w:style>
  <w:style w:type="character" w:customStyle="1" w:styleId="21FTTitreCar">
    <w:name w:val="21_FT_Titre Car"/>
    <w:basedOn w:val="Policepardfaut"/>
    <w:link w:val="21FTTitre"/>
    <w:rsid w:val="00F20184"/>
    <w:rPr>
      <w:rFonts w:ascii="Helvetica 35 Thin" w:hAnsi="Helvetica 35 Thin"/>
      <w:color w:val="FF0000"/>
      <w:sz w:val="36"/>
    </w:rPr>
  </w:style>
  <w:style w:type="character" w:styleId="Lienhypertexte">
    <w:name w:val="Hyperlink"/>
    <w:basedOn w:val="Policepardfaut"/>
    <w:uiPriority w:val="99"/>
    <w:semiHidden/>
    <w:rsid w:val="007505AB"/>
    <w:rPr>
      <w:color w:val="0000FF"/>
      <w:u w:val="single"/>
    </w:rPr>
  </w:style>
  <w:style w:type="character" w:customStyle="1" w:styleId="22FTTitreparagrapheCar">
    <w:name w:val="22_FT_Titre paragraphe Car"/>
    <w:basedOn w:val="Policepardfaut"/>
    <w:link w:val="22FTTitreparagraphe"/>
    <w:rsid w:val="00071F0A"/>
    <w:rPr>
      <w:rFonts w:ascii="Helvetica 55 Roman" w:hAnsi="Helvetica 55 Roman"/>
      <w:b/>
      <w:sz w:val="21"/>
    </w:rPr>
  </w:style>
  <w:style w:type="table" w:styleId="Grilledutableau">
    <w:name w:val="Table Grid"/>
    <w:basedOn w:val="TableauNormal"/>
    <w:uiPriority w:val="59"/>
    <w:rsid w:val="007505AB"/>
    <w:pPr>
      <w:spacing w:after="0" w:line="240" w:lineRule="auto"/>
    </w:pPr>
    <w:rPr>
      <w:rFonts w:ascii="Times New Roman" w:eastAsia="Times New Roman" w:hAnsi="Times New Roman" w:cs="Times New Roman"/>
      <w:sz w:val="20"/>
      <w:szCs w:val="20"/>
      <w:lang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u">
    <w:name w:val="Tableau"/>
    <w:basedOn w:val="Normal"/>
    <w:link w:val="TableauCar"/>
    <w:qFormat/>
    <w:rsid w:val="007505AB"/>
    <w:pPr>
      <w:tabs>
        <w:tab w:val="left" w:pos="1134"/>
      </w:tabs>
      <w:spacing w:before="60" w:after="60"/>
      <w:jc w:val="left"/>
    </w:pPr>
    <w:rPr>
      <w:rFonts w:eastAsiaTheme="minorEastAsia" w:cs="MinionPro-Regular"/>
      <w:color w:val="000000"/>
      <w:szCs w:val="19"/>
      <w:lang w:val="fr-FR" w:eastAsia="fr-FR"/>
    </w:rPr>
  </w:style>
  <w:style w:type="character" w:customStyle="1" w:styleId="TableauCar">
    <w:name w:val="Tableau Car"/>
    <w:basedOn w:val="Policepardfaut"/>
    <w:link w:val="Tableau"/>
    <w:rsid w:val="007505AB"/>
    <w:rPr>
      <w:rFonts w:ascii="Helvetica 45 Light" w:eastAsiaTheme="minorEastAsia" w:hAnsi="Helvetica 45 Light" w:cs="MinionPro-Regular"/>
      <w:color w:val="000000"/>
      <w:sz w:val="19"/>
      <w:szCs w:val="19"/>
      <w:lang w:val="fr-FR" w:eastAsia="fr-FR"/>
    </w:rPr>
  </w:style>
  <w:style w:type="paragraph" w:customStyle="1" w:styleId="30FTTABCadrelgal">
    <w:name w:val="30_FT_TAB_Cadre légal"/>
    <w:basedOn w:val="Tableau"/>
    <w:link w:val="30FTTABCadrelgalCar"/>
    <w:qFormat/>
    <w:rsid w:val="007505AB"/>
    <w:pPr>
      <w:spacing w:before="80" w:after="80"/>
    </w:pPr>
    <w:rPr>
      <w:b/>
    </w:rPr>
  </w:style>
  <w:style w:type="paragraph" w:customStyle="1" w:styleId="03FTEnttePage2">
    <w:name w:val="03_FT_Entête Page 2"/>
    <w:basedOn w:val="En-tte"/>
    <w:link w:val="03FTEnttePage2Car"/>
    <w:qFormat/>
    <w:rsid w:val="000D35A7"/>
    <w:pPr>
      <w:jc w:val="right"/>
    </w:pPr>
    <w:rPr>
      <w:sz w:val="16"/>
    </w:rPr>
  </w:style>
  <w:style w:type="character" w:customStyle="1" w:styleId="30FTTABCadrelgalCar">
    <w:name w:val="30_FT_TAB_Cadre légal Car"/>
    <w:basedOn w:val="TableauCar"/>
    <w:link w:val="30FTTABCadrelgal"/>
    <w:rsid w:val="007505AB"/>
    <w:rPr>
      <w:rFonts w:ascii="Helvetica 45 Light" w:eastAsiaTheme="minorEastAsia" w:hAnsi="Helvetica 45 Light" w:cs="MinionPro-Regular"/>
      <w:b/>
      <w:color w:val="000000"/>
      <w:sz w:val="19"/>
      <w:szCs w:val="19"/>
      <w:lang w:val="fr-FR" w:eastAsia="fr-FR"/>
    </w:rPr>
  </w:style>
  <w:style w:type="paragraph" w:customStyle="1" w:styleId="23TitrepargarapheExigences">
    <w:name w:val="23_Titre pargaraphe Exigences"/>
    <w:basedOn w:val="Normal"/>
    <w:link w:val="23TitrepargarapheExigencesCar"/>
    <w:qFormat/>
    <w:rsid w:val="00D47E13"/>
    <w:pPr>
      <w:spacing w:before="120" w:after="120"/>
    </w:pPr>
    <w:rPr>
      <w:rFonts w:ascii="Helvetica 55 Roman" w:hAnsi="Helvetica 55 Roman"/>
      <w:i/>
      <w:sz w:val="21"/>
      <w:u w:val="single"/>
    </w:rPr>
  </w:style>
  <w:style w:type="character" w:customStyle="1" w:styleId="03FTEnttePage2Car">
    <w:name w:val="03_FT_Entête Page 2 Car"/>
    <w:basedOn w:val="En-tteCar"/>
    <w:link w:val="03FTEnttePage2"/>
    <w:rsid w:val="000D35A7"/>
    <w:rPr>
      <w:rFonts w:ascii="Helvetica 45 Light" w:hAnsi="Helvetica 45 Light"/>
      <w:sz w:val="16"/>
    </w:rPr>
  </w:style>
  <w:style w:type="paragraph" w:customStyle="1" w:styleId="31FTTABServices-Valid">
    <w:name w:val="31_FT_TAB_Services-Valid"/>
    <w:basedOn w:val="Normal"/>
    <w:link w:val="31FTTABServices-ValidCar"/>
    <w:qFormat/>
    <w:rsid w:val="00CB084C"/>
    <w:pPr>
      <w:spacing w:before="60" w:after="60"/>
    </w:pPr>
    <w:rPr>
      <w:rFonts w:eastAsia="Times New Roman" w:cs="Times New Roman"/>
      <w:sz w:val="16"/>
      <w:szCs w:val="16"/>
      <w:lang w:eastAsia="fr-CH"/>
    </w:rPr>
  </w:style>
  <w:style w:type="character" w:customStyle="1" w:styleId="23TitrepargarapheExigencesCar">
    <w:name w:val="23_Titre pargaraphe Exigences Car"/>
    <w:basedOn w:val="Policepardfaut"/>
    <w:link w:val="23TitrepargarapheExigences"/>
    <w:rsid w:val="00D47E13"/>
    <w:rPr>
      <w:rFonts w:ascii="Helvetica 55 Roman" w:hAnsi="Helvetica 55 Roman"/>
      <w:i/>
      <w:sz w:val="21"/>
      <w:u w:val="single"/>
    </w:rPr>
  </w:style>
  <w:style w:type="character" w:customStyle="1" w:styleId="31FTTABServices-ValidCar">
    <w:name w:val="31_FT_TAB_Services-Valid Car"/>
    <w:basedOn w:val="Policepardfaut"/>
    <w:link w:val="31FTTABServices-Valid"/>
    <w:rsid w:val="00CB084C"/>
    <w:rPr>
      <w:rFonts w:ascii="Helvetica 45 Light" w:eastAsia="Times New Roman" w:hAnsi="Helvetica 45 Light" w:cs="Times New Roman"/>
      <w:sz w:val="16"/>
      <w:szCs w:val="16"/>
      <w:lang w:eastAsia="fr-CH"/>
    </w:rPr>
  </w:style>
  <w:style w:type="paragraph" w:styleId="Textedebulles">
    <w:name w:val="Balloon Text"/>
    <w:basedOn w:val="Normal"/>
    <w:link w:val="TextedebullesCar"/>
    <w:uiPriority w:val="99"/>
    <w:semiHidden/>
    <w:unhideWhenUsed/>
    <w:rsid w:val="00B967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6731"/>
    <w:rPr>
      <w:rFonts w:ascii="Segoe UI" w:hAnsi="Segoe UI" w:cs="Segoe UI"/>
      <w:sz w:val="18"/>
      <w:szCs w:val="18"/>
    </w:rPr>
  </w:style>
  <w:style w:type="paragraph" w:customStyle="1" w:styleId="40ArtTitre">
    <w:name w:val="40_Art. Titre"/>
    <w:basedOn w:val="Normal"/>
    <w:link w:val="40ArtTitreCar"/>
    <w:qFormat/>
    <w:rsid w:val="00752F75"/>
    <w:pPr>
      <w:tabs>
        <w:tab w:val="left" w:pos="1134"/>
      </w:tabs>
      <w:spacing w:before="120" w:after="180"/>
      <w:ind w:left="1134" w:hanging="1134"/>
    </w:pPr>
    <w:rPr>
      <w:rFonts w:ascii="Helvetica 55 Roman" w:hAnsi="Helvetica 55 Roman"/>
    </w:rPr>
  </w:style>
  <w:style w:type="paragraph" w:customStyle="1" w:styleId="41Artalina">
    <w:name w:val="41_Art. alinéa"/>
    <w:basedOn w:val="Normal"/>
    <w:link w:val="41ArtalinaCar"/>
    <w:qFormat/>
    <w:rsid w:val="00592B04"/>
    <w:pPr>
      <w:numPr>
        <w:numId w:val="1"/>
      </w:numPr>
      <w:tabs>
        <w:tab w:val="left" w:pos="340"/>
      </w:tabs>
      <w:spacing w:before="40"/>
    </w:pPr>
  </w:style>
  <w:style w:type="character" w:customStyle="1" w:styleId="40ArtTitreCar">
    <w:name w:val="40_Art. Titre Car"/>
    <w:basedOn w:val="Policepardfaut"/>
    <w:link w:val="40ArtTitre"/>
    <w:rsid w:val="00752F75"/>
    <w:rPr>
      <w:rFonts w:ascii="Helvetica 55 Roman" w:hAnsi="Helvetica 55 Roman"/>
      <w:sz w:val="19"/>
    </w:rPr>
  </w:style>
  <w:style w:type="paragraph" w:customStyle="1" w:styleId="42Artlettre">
    <w:name w:val="42_Art. lettre"/>
    <w:basedOn w:val="41Artalina"/>
    <w:link w:val="42ArtlettreCar"/>
    <w:qFormat/>
    <w:rsid w:val="00775C40"/>
    <w:pPr>
      <w:numPr>
        <w:numId w:val="2"/>
      </w:numPr>
      <w:tabs>
        <w:tab w:val="clear" w:pos="340"/>
      </w:tabs>
      <w:ind w:left="737" w:hanging="397"/>
    </w:pPr>
  </w:style>
  <w:style w:type="character" w:customStyle="1" w:styleId="41ArtalinaCar">
    <w:name w:val="41_Art. alinéa Car"/>
    <w:basedOn w:val="Policepardfaut"/>
    <w:link w:val="41Artalina"/>
    <w:rsid w:val="00DD6E34"/>
    <w:rPr>
      <w:rFonts w:ascii="Helvetica 45 Light" w:hAnsi="Helvetica 45 Light"/>
      <w:sz w:val="19"/>
    </w:rPr>
  </w:style>
  <w:style w:type="paragraph" w:customStyle="1" w:styleId="43ArtChiffre">
    <w:name w:val="43_Art. Chiffre"/>
    <w:basedOn w:val="42Artlettre"/>
    <w:link w:val="43ArtChiffreCar"/>
    <w:qFormat/>
    <w:rsid w:val="00775C40"/>
    <w:pPr>
      <w:numPr>
        <w:numId w:val="10"/>
      </w:numPr>
    </w:pPr>
  </w:style>
  <w:style w:type="character" w:customStyle="1" w:styleId="42ArtlettreCar">
    <w:name w:val="42_Art. lettre Car"/>
    <w:basedOn w:val="41ArtalinaCar"/>
    <w:link w:val="42Artlettre"/>
    <w:rsid w:val="00775C40"/>
    <w:rPr>
      <w:rFonts w:ascii="Helvetica 45 Light" w:hAnsi="Helvetica 45 Light"/>
      <w:sz w:val="19"/>
    </w:rPr>
  </w:style>
  <w:style w:type="paragraph" w:customStyle="1" w:styleId="44ArtTiret">
    <w:name w:val="44_Art. Tiret"/>
    <w:basedOn w:val="43ArtChiffre"/>
    <w:link w:val="44ArtTiretCar"/>
    <w:qFormat/>
    <w:rsid w:val="008609DE"/>
    <w:pPr>
      <w:numPr>
        <w:numId w:val="17"/>
      </w:numPr>
      <w:ind w:left="1531" w:hanging="397"/>
    </w:pPr>
  </w:style>
  <w:style w:type="character" w:customStyle="1" w:styleId="43ArtChiffreCar">
    <w:name w:val="43_Art. Chiffre Car"/>
    <w:basedOn w:val="42ArtlettreCar"/>
    <w:link w:val="43ArtChiffre"/>
    <w:rsid w:val="00775C40"/>
    <w:rPr>
      <w:rFonts w:ascii="Helvetica 45 Light" w:hAnsi="Helvetica 45 Light"/>
      <w:sz w:val="19"/>
    </w:rPr>
  </w:style>
  <w:style w:type="character" w:customStyle="1" w:styleId="44ArtTiretCar">
    <w:name w:val="44_Art. Tiret Car"/>
    <w:basedOn w:val="43ArtChiffreCar"/>
    <w:link w:val="44ArtTiret"/>
    <w:rsid w:val="008609DE"/>
    <w:rPr>
      <w:rFonts w:ascii="Helvetica 45 Light" w:hAnsi="Helvetica 45 Light"/>
      <w:sz w:val="19"/>
    </w:rPr>
  </w:style>
  <w:style w:type="paragraph" w:customStyle="1" w:styleId="31aTABservLienhypertexte">
    <w:name w:val="31a_TAB_serv_Lien hypertexte"/>
    <w:basedOn w:val="31FTTABServices-Valid"/>
    <w:link w:val="31aTABservLienhypertexteCar"/>
    <w:qFormat/>
    <w:rsid w:val="00995C77"/>
    <w:rPr>
      <w:color w:val="0000FF"/>
      <w:u w:val="single"/>
    </w:rPr>
  </w:style>
  <w:style w:type="character" w:customStyle="1" w:styleId="31aTABservLienhypertexteCar">
    <w:name w:val="31a_TAB_serv_Lien hypertexte Car"/>
    <w:basedOn w:val="31FTTABServices-ValidCar"/>
    <w:link w:val="31aTABservLienhypertexte"/>
    <w:rsid w:val="00995C77"/>
    <w:rPr>
      <w:rFonts w:ascii="Helvetica 45 Light" w:eastAsia="Times New Roman" w:hAnsi="Helvetica 45 Light" w:cs="Times New Roman"/>
      <w:color w:val="0000FF"/>
      <w:sz w:val="16"/>
      <w:szCs w:val="16"/>
      <w:u w:val="single"/>
      <w:lang w:eastAsia="fr-CH"/>
    </w:rPr>
  </w:style>
  <w:style w:type="paragraph" w:styleId="Rvision">
    <w:name w:val="Revision"/>
    <w:hidden/>
    <w:uiPriority w:val="99"/>
    <w:semiHidden/>
    <w:rsid w:val="005B0B8C"/>
    <w:pPr>
      <w:spacing w:after="0" w:line="240" w:lineRule="auto"/>
    </w:pPr>
    <w:rPr>
      <w:rFonts w:ascii="Helvetica 45 Light" w:hAnsi="Helvetica 45 Light"/>
      <w:sz w:val="19"/>
    </w:rPr>
  </w:style>
  <w:style w:type="character" w:styleId="Marquedecommentaire">
    <w:name w:val="annotation reference"/>
    <w:basedOn w:val="Policepardfaut"/>
    <w:uiPriority w:val="99"/>
    <w:semiHidden/>
    <w:unhideWhenUsed/>
    <w:rsid w:val="00695C63"/>
    <w:rPr>
      <w:sz w:val="16"/>
      <w:szCs w:val="16"/>
    </w:rPr>
  </w:style>
  <w:style w:type="paragraph" w:styleId="Commentaire">
    <w:name w:val="annotation text"/>
    <w:basedOn w:val="Normal"/>
    <w:link w:val="CommentaireCar"/>
    <w:uiPriority w:val="99"/>
    <w:unhideWhenUsed/>
    <w:rsid w:val="00695C63"/>
    <w:pPr>
      <w:spacing w:line="240" w:lineRule="auto"/>
    </w:pPr>
    <w:rPr>
      <w:sz w:val="20"/>
      <w:szCs w:val="20"/>
    </w:rPr>
  </w:style>
  <w:style w:type="character" w:customStyle="1" w:styleId="CommentaireCar">
    <w:name w:val="Commentaire Car"/>
    <w:basedOn w:val="Policepardfaut"/>
    <w:link w:val="Commentaire"/>
    <w:uiPriority w:val="99"/>
    <w:rsid w:val="00695C63"/>
    <w:rPr>
      <w:rFonts w:ascii="Helvetica 45 Light" w:hAnsi="Helvetica 45 Light"/>
      <w:sz w:val="20"/>
      <w:szCs w:val="20"/>
    </w:rPr>
  </w:style>
  <w:style w:type="paragraph" w:styleId="Objetducommentaire">
    <w:name w:val="annotation subject"/>
    <w:basedOn w:val="Commentaire"/>
    <w:next w:val="Commentaire"/>
    <w:link w:val="ObjetducommentaireCar"/>
    <w:uiPriority w:val="99"/>
    <w:semiHidden/>
    <w:unhideWhenUsed/>
    <w:rsid w:val="00695C63"/>
    <w:rPr>
      <w:b/>
      <w:bCs/>
    </w:rPr>
  </w:style>
  <w:style w:type="character" w:customStyle="1" w:styleId="ObjetducommentaireCar">
    <w:name w:val="Objet du commentaire Car"/>
    <w:basedOn w:val="CommentaireCar"/>
    <w:link w:val="Objetducommentaire"/>
    <w:uiPriority w:val="99"/>
    <w:semiHidden/>
    <w:rsid w:val="00695C63"/>
    <w:rPr>
      <w:rFonts w:ascii="Helvetica 45 Light" w:hAnsi="Helvetica 45 Light"/>
      <w:b/>
      <w:bCs/>
      <w:sz w:val="20"/>
      <w:szCs w:val="20"/>
    </w:rPr>
  </w:style>
  <w:style w:type="character" w:styleId="Lienhypertextesuivivisit">
    <w:name w:val="FollowedHyperlink"/>
    <w:basedOn w:val="Policepardfaut"/>
    <w:uiPriority w:val="99"/>
    <w:semiHidden/>
    <w:unhideWhenUsed/>
    <w:rsid w:val="00630E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s.ch/web/sdm/ho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DM@admin.vs.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s.ch/documents/23442489/37197485/D10_FICHE_Mobilite_transport_F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8A287-43B7-423B-9091-38519FA23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6113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DORSAZ</dc:creator>
  <cp:keywords/>
  <dc:description/>
  <cp:lastModifiedBy>Frederic DORSAZ</cp:lastModifiedBy>
  <cp:revision>113</cp:revision>
  <cp:lastPrinted>2024-12-03T10:44:00Z</cp:lastPrinted>
  <dcterms:created xsi:type="dcterms:W3CDTF">2024-12-03T09:19:00Z</dcterms:created>
  <dcterms:modified xsi:type="dcterms:W3CDTF">2025-04-01T05:44:00Z</dcterms:modified>
</cp:coreProperties>
</file>