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6D167CEB" w14:textId="77777777" w:rsidR="00D14284" w:rsidRPr="009B4568" w:rsidRDefault="00D14284" w:rsidP="009B4568">
      <w:pPr>
        <w:pStyle w:val="couverturetitre"/>
        <w:spacing w:line="276" w:lineRule="auto"/>
        <w:rPr>
          <w:rFonts w:ascii="Helvetica 45 Light" w:hAnsi="Helvetica 45 Light" w:cs="MinionPro-Regular"/>
          <w:color w:val="000000"/>
          <w:sz w:val="30"/>
          <w:szCs w:val="30"/>
          <w:lang w:val="de-CH"/>
        </w:rPr>
      </w:pPr>
      <w:r w:rsidRPr="009B4568">
        <w:rPr>
          <w:rFonts w:ascii="Helvetica 45 Light" w:hAnsi="Helvetica 45 Light" w:cs="MinionPro-Regular"/>
          <w:color w:val="000000"/>
          <w:sz w:val="30"/>
          <w:szCs w:val="30"/>
          <w:lang w:val="de-CH"/>
        </w:rPr>
        <w:t xml:space="preserve">Musterartikel </w:t>
      </w:r>
    </w:p>
    <w:p w14:paraId="786C71AF" w14:textId="77777777" w:rsidR="00D14284" w:rsidRPr="009B4568" w:rsidRDefault="00D14284" w:rsidP="009B4568">
      <w:pPr>
        <w:pStyle w:val="couverturesous-titre"/>
        <w:spacing w:line="276" w:lineRule="auto"/>
        <w:rPr>
          <w:rFonts w:ascii="Helvetica 35 Thin" w:eastAsiaTheme="minorEastAsia" w:hAnsi="Helvetica 35 Thin" w:cstheme="minorBidi"/>
          <w:bCs w:val="0"/>
          <w:color w:val="FF0000"/>
          <w:sz w:val="36"/>
          <w:szCs w:val="36"/>
          <w:lang w:val="de-CH"/>
        </w:rPr>
      </w:pPr>
      <w:r w:rsidRPr="009B4568">
        <w:rPr>
          <w:rFonts w:ascii="Helvetica 35 Thin" w:eastAsiaTheme="minorEastAsia" w:hAnsi="Helvetica 35 Thin" w:cstheme="minorBidi"/>
          <w:bCs w:val="0"/>
          <w:color w:val="FF0000"/>
          <w:sz w:val="36"/>
          <w:szCs w:val="36"/>
          <w:lang w:val="de-CH"/>
        </w:rPr>
        <w:t>Aktive Bodenpolitik und Verfügbarkeit von Bauland</w:t>
      </w:r>
    </w:p>
    <w:p w14:paraId="4BC30348" w14:textId="77777777" w:rsidR="00772DFF" w:rsidRPr="009B4568" w:rsidRDefault="00772DFF" w:rsidP="009B4568">
      <w:pPr>
        <w:pStyle w:val="couverturesous-titre"/>
        <w:spacing w:line="276" w:lineRule="auto"/>
        <w:rPr>
          <w:rFonts w:ascii="Helvetica 45 Light" w:hAnsi="Helvetica 45 Light"/>
          <w:lang w:val="de-CH"/>
        </w:rPr>
      </w:pPr>
    </w:p>
    <w:p w14:paraId="7F6FBB67" w14:textId="4B0B16FE" w:rsidR="00772DFF" w:rsidRDefault="009B4568" w:rsidP="009B4568">
      <w:pPr>
        <w:pStyle w:val="couverturesous-titre"/>
        <w:spacing w:line="276" w:lineRule="auto"/>
        <w:rPr>
          <w:rFonts w:ascii="Helvetica 45 Light" w:hAnsi="Helvetica 45 Light"/>
          <w:lang w:val="de-CH"/>
        </w:rPr>
      </w:pPr>
      <w:r w:rsidRPr="009B4568">
        <w:rPr>
          <w:rFonts w:ascii="Helvetica 45 Light" w:hAnsi="Helvetica 45 Light"/>
          <w:lang w:val="de-CH"/>
        </w:rPr>
        <w:t xml:space="preserve">Dezember 2022 </w:t>
      </w:r>
      <w:r>
        <w:rPr>
          <w:rFonts w:ascii="Helvetica 45 Light" w:hAnsi="Helvetica 45 Light"/>
          <w:lang w:val="de-CH"/>
        </w:rPr>
        <w:t>(V</w:t>
      </w:r>
      <w:r w:rsidRPr="009B4568">
        <w:rPr>
          <w:rFonts w:ascii="Helvetica 45 Light" w:hAnsi="Helvetica 45 Light"/>
          <w:lang w:val="de-CH"/>
        </w:rPr>
        <w:t>ersion 1.1</w:t>
      </w:r>
      <w:r w:rsidR="00772DFF" w:rsidRPr="009B4568">
        <w:rPr>
          <w:rFonts w:ascii="Helvetica 45 Light" w:hAnsi="Helvetica 45 Light"/>
          <w:lang w:val="de-CH"/>
        </w:rPr>
        <w:t>)</w:t>
      </w:r>
    </w:p>
    <w:p w14:paraId="4B72A58C" w14:textId="2513DB48" w:rsidR="00633D3A" w:rsidRPr="0076534F" w:rsidRDefault="00633D3A" w:rsidP="00633D3A">
      <w:pPr>
        <w:pStyle w:val="ACRfrences"/>
        <w:spacing w:after="120"/>
        <w:ind w:left="-1418"/>
        <w:rPr>
          <w:lang w:val="de-CH"/>
        </w:rPr>
      </w:pPr>
    </w:p>
    <w:p w14:paraId="02243CCD" w14:textId="077EDEE9" w:rsidR="006B60CD" w:rsidRPr="0076534F" w:rsidRDefault="006B60CD" w:rsidP="009B4568">
      <w:pPr>
        <w:spacing w:line="360" w:lineRule="auto"/>
        <w:jc w:val="both"/>
        <w:rPr>
          <w:rFonts w:ascii="Helvetica 55 Roman" w:hAnsi="Helvetica 55 Roman" w:cs="Arial"/>
          <w:b/>
          <w:sz w:val="21"/>
          <w:szCs w:val="21"/>
          <w:lang w:val="de-CH"/>
        </w:rPr>
      </w:pPr>
      <w:r w:rsidRPr="0076534F">
        <w:rPr>
          <w:rFonts w:ascii="Helvetica 55 Roman" w:hAnsi="Helvetica 55 Roman" w:cs="Arial"/>
          <w:b/>
          <w:sz w:val="21"/>
          <w:szCs w:val="21"/>
          <w:lang w:val="de-CH"/>
        </w:rPr>
        <w:t>Ausgangslage, Zielsetzungen</w:t>
      </w:r>
    </w:p>
    <w:p w14:paraId="73BEB541" w14:textId="705FDE14" w:rsidR="00645030" w:rsidRPr="00645030" w:rsidRDefault="00645030" w:rsidP="00617866">
      <w:pPr>
        <w:jc w:val="both"/>
        <w:rPr>
          <w:rFonts w:ascii="Helvetica 45 Light" w:eastAsiaTheme="minorHAnsi" w:hAnsi="Helvetica 45 Light" w:cs="Arial"/>
          <w:sz w:val="19"/>
          <w:szCs w:val="19"/>
          <w:lang w:val="de-CH"/>
        </w:rPr>
      </w:pPr>
      <w:r w:rsidRPr="00645030">
        <w:rPr>
          <w:rFonts w:ascii="Helvetica 45 Light" w:eastAsiaTheme="minorHAnsi" w:hAnsi="Helvetica 45 Light" w:cs="Arial"/>
          <w:sz w:val="19"/>
          <w:szCs w:val="19"/>
          <w:lang w:val="de-CH"/>
        </w:rPr>
        <w:t>2014 wurde mit der Revision des Bundesgesetzes über die Raumplanung (RPG) die Verpflichtung für Kantone und Gemeinden eingeführt, Massnahmen zu ergreife</w:t>
      </w:r>
      <w:r w:rsidR="0076534F">
        <w:rPr>
          <w:rFonts w:ascii="Helvetica 45 Light" w:eastAsiaTheme="minorHAnsi" w:hAnsi="Helvetica 45 Light" w:cs="Arial"/>
          <w:sz w:val="19"/>
          <w:szCs w:val="19"/>
          <w:lang w:val="de-CH"/>
        </w:rPr>
        <w:t>n, um die Verfügbarkeit von Bau</w:t>
      </w:r>
      <w:r w:rsidRPr="00645030">
        <w:rPr>
          <w:rFonts w:ascii="Helvetica 45 Light" w:eastAsiaTheme="minorHAnsi" w:hAnsi="Helvetica 45 Light" w:cs="Arial"/>
          <w:sz w:val="19"/>
          <w:szCs w:val="19"/>
          <w:lang w:val="de-CH"/>
        </w:rPr>
        <w:t>land sicherzustellen. Grundstücke in der Bauzone müssen gemäss ihrer Nutzungsbestimmung verwendet werden; das heisst, sie müssen innerhalb eines angemessenen Zeitraums überbaut werden, um die in der Verfassung verankerte Anforderung eine</w:t>
      </w:r>
      <w:r w:rsidR="0076534F">
        <w:rPr>
          <w:rFonts w:ascii="Helvetica 45 Light" w:eastAsiaTheme="minorHAnsi" w:hAnsi="Helvetica 45 Light" w:cs="Arial"/>
          <w:sz w:val="19"/>
          <w:szCs w:val="19"/>
          <w:lang w:val="de-CH"/>
        </w:rPr>
        <w:t>r zweckmässigen und haushälteri</w:t>
      </w:r>
      <w:r w:rsidRPr="00645030">
        <w:rPr>
          <w:rFonts w:ascii="Helvetica 45 Light" w:eastAsiaTheme="minorHAnsi" w:hAnsi="Helvetica 45 Light" w:cs="Arial"/>
          <w:sz w:val="19"/>
          <w:szCs w:val="19"/>
          <w:lang w:val="de-CH"/>
        </w:rPr>
        <w:t>schen Nutzung des Bodens und der geordneten Besiedlung des Landes zu erfüllen.</w:t>
      </w:r>
    </w:p>
    <w:p w14:paraId="60DBE6C9" w14:textId="77777777" w:rsidR="004067A8" w:rsidRPr="00645030" w:rsidRDefault="004067A8" w:rsidP="00617866">
      <w:pPr>
        <w:spacing w:line="252" w:lineRule="auto"/>
        <w:jc w:val="both"/>
        <w:rPr>
          <w:rFonts w:ascii="Helvetica 45 Light" w:eastAsiaTheme="minorHAnsi" w:hAnsi="Helvetica 45 Light" w:cs="Arial"/>
          <w:sz w:val="19"/>
          <w:szCs w:val="19"/>
          <w:lang w:val="de-CH"/>
        </w:rPr>
      </w:pPr>
    </w:p>
    <w:p w14:paraId="5F05FE6E" w14:textId="2467389F" w:rsidR="004067A8" w:rsidRDefault="00645030" w:rsidP="004067A8">
      <w:pPr>
        <w:spacing w:line="252" w:lineRule="auto"/>
        <w:jc w:val="both"/>
        <w:rPr>
          <w:rFonts w:ascii="Helvetica 45 Light" w:eastAsiaTheme="minorHAnsi" w:hAnsi="Helvetica 45 Light" w:cs="Arial"/>
          <w:sz w:val="19"/>
          <w:szCs w:val="19"/>
          <w:lang w:val="de-CH"/>
        </w:rPr>
      </w:pPr>
      <w:r w:rsidRPr="00645030">
        <w:rPr>
          <w:rFonts w:ascii="Helvetica 45 Light" w:eastAsiaTheme="minorHAnsi" w:hAnsi="Helvetica 45 Light" w:cs="Arial"/>
          <w:sz w:val="19"/>
          <w:szCs w:val="19"/>
          <w:lang w:val="de-CH"/>
        </w:rPr>
        <w:t>2016 wurde diese neue Anforderung in das geänderte kantona</w:t>
      </w:r>
      <w:r w:rsidR="0076534F">
        <w:rPr>
          <w:rFonts w:ascii="Helvetica 45 Light" w:eastAsiaTheme="minorHAnsi" w:hAnsi="Helvetica 45 Light" w:cs="Arial"/>
          <w:sz w:val="19"/>
          <w:szCs w:val="19"/>
          <w:lang w:val="de-CH"/>
        </w:rPr>
        <w:t>le Ausführungsgesetz zum Bundes</w:t>
      </w:r>
      <w:r w:rsidRPr="00645030">
        <w:rPr>
          <w:rFonts w:ascii="Helvetica 45 Light" w:eastAsiaTheme="minorHAnsi" w:hAnsi="Helvetica 45 Light" w:cs="Arial"/>
          <w:sz w:val="19"/>
          <w:szCs w:val="19"/>
          <w:lang w:val="de-CH"/>
        </w:rPr>
        <w:t>gesetz über die Raumplanung (</w:t>
      </w:r>
      <w:proofErr w:type="spellStart"/>
      <w:r w:rsidRPr="00645030">
        <w:rPr>
          <w:rFonts w:ascii="Helvetica 45 Light" w:eastAsiaTheme="minorHAnsi" w:hAnsi="Helvetica 45 Light" w:cs="Arial"/>
          <w:sz w:val="19"/>
          <w:szCs w:val="19"/>
          <w:lang w:val="de-CH"/>
        </w:rPr>
        <w:t>kRPG</w:t>
      </w:r>
      <w:proofErr w:type="spellEnd"/>
      <w:r w:rsidRPr="00645030">
        <w:rPr>
          <w:rFonts w:ascii="Helvetica 45 Light" w:eastAsiaTheme="minorHAnsi" w:hAnsi="Helvetica 45 Light" w:cs="Arial"/>
          <w:sz w:val="19"/>
          <w:szCs w:val="19"/>
          <w:lang w:val="de-CH"/>
        </w:rPr>
        <w:t xml:space="preserve">) und die diesbezüglichen Bestimmungen aufgenommen, indem Fristen für die Überbauung und Sanktionen für den Fall einer Nichteinhaltung dieser Fristen festgelegt wurden. Die Gemeinden sind somit verpflichtet, eine aktive Bodenpolitik im Sinne von Artikel 16 </w:t>
      </w:r>
      <w:proofErr w:type="spellStart"/>
      <w:r w:rsidRPr="00645030">
        <w:rPr>
          <w:rFonts w:ascii="Helvetica 45 Light" w:eastAsiaTheme="minorHAnsi" w:hAnsi="Helvetica 45 Light" w:cs="Arial"/>
          <w:sz w:val="19"/>
          <w:szCs w:val="19"/>
          <w:lang w:val="de-CH"/>
        </w:rPr>
        <w:t>kRPG</w:t>
      </w:r>
      <w:proofErr w:type="spellEnd"/>
      <w:r w:rsidRPr="00645030">
        <w:rPr>
          <w:rFonts w:ascii="Helvetica 45 Light" w:eastAsiaTheme="minorHAnsi" w:hAnsi="Helvetica 45 Light" w:cs="Arial"/>
          <w:sz w:val="19"/>
          <w:szCs w:val="19"/>
          <w:lang w:val="de-CH"/>
        </w:rPr>
        <w:t xml:space="preserve"> zu betreiben, um auf die bebauten und unbebauten Grundstücke Einfluss zu nehmen und auf diese Weise ihre Entwicklungsabsichten umzusetzen. Sie müssen insbesondere nachweisen, wie sie die Verfügbarkeit von neuem Bauland gewährleisten (Art. 15 Abs. 4 RPG).</w:t>
      </w:r>
    </w:p>
    <w:p w14:paraId="18605A2C" w14:textId="3FC2FF7A" w:rsidR="00645030" w:rsidRPr="0076534F" w:rsidRDefault="00645030" w:rsidP="00645030">
      <w:pPr>
        <w:spacing w:line="252" w:lineRule="auto"/>
        <w:jc w:val="both"/>
        <w:rPr>
          <w:rFonts w:ascii="Helvetica 45 Light" w:eastAsiaTheme="minorHAnsi" w:hAnsi="Helvetica 45 Light" w:cs="Arial"/>
          <w:sz w:val="19"/>
          <w:szCs w:val="19"/>
          <w:lang w:val="de-CH"/>
        </w:rPr>
      </w:pPr>
    </w:p>
    <w:p w14:paraId="71D5B868" w14:textId="10A81DD7" w:rsidR="004067A8" w:rsidRDefault="00645030" w:rsidP="00645030">
      <w:pPr>
        <w:spacing w:line="252" w:lineRule="auto"/>
        <w:jc w:val="both"/>
        <w:rPr>
          <w:rFonts w:ascii="Helvetica 45 Light" w:eastAsiaTheme="minorHAnsi" w:hAnsi="Helvetica 45 Light" w:cs="Arial"/>
          <w:sz w:val="19"/>
          <w:szCs w:val="19"/>
          <w:lang w:val="de-CH"/>
        </w:rPr>
      </w:pPr>
      <w:r w:rsidRPr="00645030">
        <w:rPr>
          <w:rFonts w:ascii="Helvetica 45 Light" w:eastAsiaTheme="minorHAnsi" w:hAnsi="Helvetica 45 Light" w:cs="Arial"/>
          <w:sz w:val="19"/>
          <w:szCs w:val="19"/>
          <w:lang w:val="de-CH"/>
        </w:rPr>
        <w:t xml:space="preserve">In diesem Rahmen können die Gemeinden direkt in den Grundstücksmarkt eingreifen, indem sie </w:t>
      </w:r>
      <w:r w:rsidRPr="00D61673">
        <w:rPr>
          <w:rFonts w:ascii="Helvetica 45 Light" w:eastAsiaTheme="minorHAnsi" w:hAnsi="Helvetica 45 Light" w:cs="Arial"/>
          <w:b/>
          <w:sz w:val="19"/>
          <w:szCs w:val="19"/>
          <w:lang w:val="de-CH"/>
        </w:rPr>
        <w:t>Grundstücke erwerben</w:t>
      </w:r>
      <w:r w:rsidRPr="00645030">
        <w:rPr>
          <w:rFonts w:ascii="Helvetica 45 Light" w:eastAsiaTheme="minorHAnsi" w:hAnsi="Helvetica 45 Light" w:cs="Arial"/>
          <w:sz w:val="19"/>
          <w:szCs w:val="19"/>
          <w:lang w:val="de-CH"/>
        </w:rPr>
        <w:t xml:space="preserve"> und sie Interessierten über einen Austausch, einen Verkauf oder im Baurecht zur Verfügung stellen. Sie können zudem verschied</w:t>
      </w:r>
      <w:r w:rsidR="0076534F">
        <w:rPr>
          <w:rFonts w:ascii="Helvetica 45 Light" w:eastAsiaTheme="minorHAnsi" w:hAnsi="Helvetica 45 Light" w:cs="Arial"/>
          <w:sz w:val="19"/>
          <w:szCs w:val="19"/>
          <w:lang w:val="de-CH"/>
        </w:rPr>
        <w:t>ene andere Instrumente und Mass</w:t>
      </w:r>
      <w:r w:rsidRPr="00645030">
        <w:rPr>
          <w:rFonts w:ascii="Helvetica 45 Light" w:eastAsiaTheme="minorHAnsi" w:hAnsi="Helvetica 45 Light" w:cs="Arial"/>
          <w:sz w:val="19"/>
          <w:szCs w:val="19"/>
          <w:lang w:val="de-CH"/>
        </w:rPr>
        <w:t xml:space="preserve">nahmen nutzen, die im </w:t>
      </w:r>
      <w:proofErr w:type="spellStart"/>
      <w:r w:rsidRPr="00645030">
        <w:rPr>
          <w:rFonts w:ascii="Helvetica 45 Light" w:eastAsiaTheme="minorHAnsi" w:hAnsi="Helvetica 45 Light" w:cs="Arial"/>
          <w:sz w:val="19"/>
          <w:szCs w:val="19"/>
          <w:lang w:val="de-CH"/>
        </w:rPr>
        <w:t>kRPG</w:t>
      </w:r>
      <w:proofErr w:type="spellEnd"/>
      <w:r w:rsidRPr="00645030">
        <w:rPr>
          <w:rFonts w:ascii="Helvetica 45 Light" w:eastAsiaTheme="minorHAnsi" w:hAnsi="Helvetica 45 Light" w:cs="Arial"/>
          <w:sz w:val="19"/>
          <w:szCs w:val="19"/>
          <w:lang w:val="de-CH"/>
        </w:rPr>
        <w:t xml:space="preserve"> vorgesehen sind, um Bauland verfügbar zu machen:</w:t>
      </w:r>
    </w:p>
    <w:p w14:paraId="62037E4C" w14:textId="77777777" w:rsidR="00645030" w:rsidRPr="00645030" w:rsidRDefault="00645030" w:rsidP="00645030">
      <w:pPr>
        <w:spacing w:line="252" w:lineRule="auto"/>
        <w:jc w:val="both"/>
        <w:rPr>
          <w:rFonts w:ascii="Helvetica 45 Light" w:eastAsiaTheme="minorHAnsi" w:hAnsi="Helvetica 45 Light" w:cs="Arial"/>
          <w:sz w:val="19"/>
          <w:szCs w:val="19"/>
          <w:lang w:val="de-CH"/>
        </w:rPr>
      </w:pPr>
    </w:p>
    <w:p w14:paraId="083AB34B" w14:textId="29577E9E" w:rsidR="004067A8" w:rsidRDefault="00D61673" w:rsidP="00D61673">
      <w:pPr>
        <w:pStyle w:val="Paragraphedeliste"/>
        <w:numPr>
          <w:ilvl w:val="0"/>
          <w:numId w:val="28"/>
        </w:numPr>
        <w:spacing w:line="252" w:lineRule="auto"/>
        <w:jc w:val="both"/>
        <w:rPr>
          <w:rFonts w:ascii="Helvetica 45 Light" w:eastAsiaTheme="minorHAnsi" w:hAnsi="Helvetica 45 Light" w:cs="Arial"/>
          <w:sz w:val="19"/>
          <w:szCs w:val="19"/>
          <w:lang w:val="de-CH"/>
        </w:rPr>
      </w:pPr>
      <w:r w:rsidRPr="00D61673">
        <w:rPr>
          <w:rFonts w:ascii="Helvetica 45 Light" w:eastAsiaTheme="minorHAnsi" w:hAnsi="Helvetica 45 Light" w:cs="Arial"/>
          <w:sz w:val="19"/>
          <w:szCs w:val="19"/>
          <w:lang w:val="de-CH"/>
        </w:rPr>
        <w:t xml:space="preserve">Sondernutzungspläne (SNP), die einen </w:t>
      </w:r>
      <w:r w:rsidRPr="00D61673">
        <w:rPr>
          <w:rFonts w:ascii="Helvetica 45 Light" w:eastAsiaTheme="minorHAnsi" w:hAnsi="Helvetica 45 Light" w:cs="Arial"/>
          <w:b/>
          <w:sz w:val="19"/>
          <w:szCs w:val="19"/>
          <w:lang w:val="de-CH"/>
        </w:rPr>
        <w:t>Entwicklungsperimeter</w:t>
      </w:r>
      <w:r w:rsidRPr="00D61673">
        <w:rPr>
          <w:rFonts w:ascii="Helvetica 45 Light" w:eastAsiaTheme="minorHAnsi" w:hAnsi="Helvetica 45 Light" w:cs="Arial"/>
          <w:sz w:val="19"/>
          <w:szCs w:val="19"/>
          <w:lang w:val="de-CH"/>
        </w:rPr>
        <w:t xml:space="preserve"> </w:t>
      </w:r>
      <w:r w:rsidR="0076534F">
        <w:rPr>
          <w:rFonts w:ascii="Helvetica 45 Light" w:eastAsiaTheme="minorHAnsi" w:hAnsi="Helvetica 45 Light" w:cs="Arial"/>
          <w:sz w:val="19"/>
          <w:szCs w:val="19"/>
          <w:lang w:val="de-CH"/>
        </w:rPr>
        <w:t>festlegen (Art. 12a) und der Ge</w:t>
      </w:r>
      <w:r w:rsidRPr="00D61673">
        <w:rPr>
          <w:rFonts w:ascii="Helvetica 45 Light" w:eastAsiaTheme="minorHAnsi" w:hAnsi="Helvetica 45 Light" w:cs="Arial"/>
          <w:sz w:val="19"/>
          <w:szCs w:val="19"/>
          <w:lang w:val="de-CH"/>
        </w:rPr>
        <w:t>meinde ein Enteignungsrecht einräumen oder sie berechtigen, Verträge mit den betroffenen Eigentümern abzuschliessen.</w:t>
      </w:r>
    </w:p>
    <w:p w14:paraId="0557C891" w14:textId="77777777" w:rsidR="00D61673" w:rsidRPr="00D61673" w:rsidRDefault="00D61673" w:rsidP="00D61673">
      <w:pPr>
        <w:pStyle w:val="Paragraphedeliste"/>
        <w:spacing w:line="252" w:lineRule="auto"/>
        <w:jc w:val="both"/>
        <w:rPr>
          <w:rFonts w:ascii="Helvetica 45 Light" w:eastAsiaTheme="minorHAnsi" w:hAnsi="Helvetica 45 Light" w:cs="Arial"/>
          <w:sz w:val="19"/>
          <w:szCs w:val="19"/>
          <w:lang w:val="de-CH"/>
        </w:rPr>
      </w:pPr>
    </w:p>
    <w:p w14:paraId="0BEB5C01" w14:textId="654E25A4" w:rsidR="004067A8" w:rsidRDefault="00D61673" w:rsidP="00D61673">
      <w:pPr>
        <w:spacing w:line="252" w:lineRule="auto"/>
        <w:ind w:firstLine="708"/>
        <w:jc w:val="both"/>
        <w:rPr>
          <w:rFonts w:ascii="Helvetica 45 Light" w:eastAsiaTheme="minorHAnsi" w:hAnsi="Helvetica 45 Light" w:cs="Arial"/>
          <w:i/>
          <w:sz w:val="19"/>
          <w:szCs w:val="19"/>
        </w:rPr>
      </w:pPr>
      <w:proofErr w:type="spellStart"/>
      <w:r w:rsidRPr="00D61673">
        <w:rPr>
          <w:rFonts w:ascii="Helvetica 45 Light" w:eastAsiaTheme="minorHAnsi" w:hAnsi="Helvetica 45 Light" w:cs="Arial"/>
          <w:i/>
          <w:sz w:val="19"/>
          <w:szCs w:val="19"/>
        </w:rPr>
        <w:t>Vgl</w:t>
      </w:r>
      <w:proofErr w:type="spellEnd"/>
      <w:r w:rsidRPr="00D61673">
        <w:rPr>
          <w:rFonts w:ascii="Helvetica 45 Light" w:eastAsiaTheme="minorHAnsi" w:hAnsi="Helvetica 45 Light" w:cs="Arial"/>
          <w:i/>
          <w:sz w:val="19"/>
          <w:szCs w:val="19"/>
        </w:rPr>
        <w:t xml:space="preserve">. </w:t>
      </w:r>
      <w:proofErr w:type="spellStart"/>
      <w:proofErr w:type="gramStart"/>
      <w:r w:rsidRPr="00D61673">
        <w:rPr>
          <w:rFonts w:ascii="Helvetica 45 Light" w:eastAsiaTheme="minorHAnsi" w:hAnsi="Helvetica 45 Light" w:cs="Arial"/>
          <w:i/>
          <w:sz w:val="19"/>
          <w:szCs w:val="19"/>
        </w:rPr>
        <w:t>diesbezüglichen</w:t>
      </w:r>
      <w:proofErr w:type="spellEnd"/>
      <w:proofErr w:type="gramEnd"/>
      <w:r w:rsidRPr="00D61673">
        <w:rPr>
          <w:rFonts w:ascii="Helvetica 45 Light" w:eastAsiaTheme="minorHAnsi" w:hAnsi="Helvetica 45 Light" w:cs="Arial"/>
          <w:i/>
          <w:sz w:val="19"/>
          <w:szCs w:val="19"/>
        </w:rPr>
        <w:t xml:space="preserve"> </w:t>
      </w:r>
      <w:proofErr w:type="spellStart"/>
      <w:r w:rsidRPr="00D61673">
        <w:rPr>
          <w:rFonts w:ascii="Helvetica 45 Light" w:eastAsiaTheme="minorHAnsi" w:hAnsi="Helvetica 45 Light" w:cs="Arial"/>
          <w:i/>
          <w:sz w:val="19"/>
          <w:szCs w:val="19"/>
        </w:rPr>
        <w:t>Musterartikel</w:t>
      </w:r>
      <w:proofErr w:type="spellEnd"/>
      <w:r w:rsidRPr="00D61673">
        <w:rPr>
          <w:rFonts w:ascii="Helvetica 45 Light" w:eastAsiaTheme="minorHAnsi" w:hAnsi="Helvetica 45 Light" w:cs="Arial"/>
          <w:i/>
          <w:sz w:val="19"/>
          <w:szCs w:val="19"/>
        </w:rPr>
        <w:t>.</w:t>
      </w:r>
    </w:p>
    <w:p w14:paraId="0206E0F8" w14:textId="77777777" w:rsidR="00D61673" w:rsidRDefault="00D61673" w:rsidP="00D61673">
      <w:pPr>
        <w:spacing w:line="252" w:lineRule="auto"/>
        <w:ind w:firstLine="708"/>
        <w:jc w:val="both"/>
        <w:rPr>
          <w:rFonts w:ascii="Helvetica 45 Light" w:eastAsiaTheme="minorHAnsi" w:hAnsi="Helvetica 45 Light" w:cs="Arial"/>
          <w:sz w:val="19"/>
          <w:szCs w:val="19"/>
        </w:rPr>
      </w:pPr>
    </w:p>
    <w:p w14:paraId="6462650C" w14:textId="6A1058F6" w:rsidR="004067A8" w:rsidRDefault="00D61673" w:rsidP="00D61673">
      <w:pPr>
        <w:pStyle w:val="Paragraphedeliste"/>
        <w:numPr>
          <w:ilvl w:val="0"/>
          <w:numId w:val="28"/>
        </w:numPr>
        <w:spacing w:line="252" w:lineRule="auto"/>
        <w:jc w:val="both"/>
        <w:rPr>
          <w:rFonts w:ascii="Helvetica 45 Light" w:eastAsiaTheme="minorHAnsi" w:hAnsi="Helvetica 45 Light" w:cs="Arial"/>
          <w:b/>
          <w:sz w:val="19"/>
          <w:szCs w:val="19"/>
          <w:lang w:val="de-CH"/>
        </w:rPr>
      </w:pPr>
      <w:r w:rsidRPr="00D61673">
        <w:rPr>
          <w:rFonts w:ascii="Helvetica 45 Light" w:eastAsiaTheme="minorHAnsi" w:hAnsi="Helvetica 45 Light" w:cs="Arial"/>
          <w:b/>
          <w:sz w:val="19"/>
          <w:szCs w:val="19"/>
          <w:lang w:val="de-CH"/>
        </w:rPr>
        <w:t>Abschluss von Verträgen mit den Eigentümern (Art. 16 Abs. 2)</w:t>
      </w:r>
    </w:p>
    <w:p w14:paraId="1031CF81" w14:textId="77777777" w:rsidR="00D61673" w:rsidRPr="00D61673" w:rsidRDefault="00D61673" w:rsidP="004067A8">
      <w:pPr>
        <w:pStyle w:val="Paragraphedeliste"/>
        <w:spacing w:line="252" w:lineRule="auto"/>
        <w:jc w:val="both"/>
        <w:rPr>
          <w:rFonts w:ascii="Helvetica 45 Light" w:eastAsiaTheme="minorHAnsi" w:hAnsi="Helvetica 45 Light" w:cs="Arial"/>
          <w:sz w:val="19"/>
          <w:szCs w:val="19"/>
          <w:lang w:val="de-CH"/>
        </w:rPr>
      </w:pPr>
    </w:p>
    <w:p w14:paraId="0CBE9DE8" w14:textId="038D8FE7" w:rsidR="004067A8" w:rsidRDefault="00D61673" w:rsidP="00D61673">
      <w:pPr>
        <w:spacing w:line="252" w:lineRule="auto"/>
        <w:ind w:left="708"/>
        <w:jc w:val="both"/>
        <w:rPr>
          <w:rFonts w:ascii="Helvetica 45 Light" w:eastAsiaTheme="minorHAnsi" w:hAnsi="Helvetica 45 Light" w:cs="Arial"/>
          <w:i/>
          <w:sz w:val="19"/>
          <w:szCs w:val="19"/>
          <w:lang w:val="de-CH"/>
        </w:rPr>
      </w:pPr>
      <w:r w:rsidRPr="00D61673">
        <w:rPr>
          <w:rFonts w:ascii="Helvetica 45 Light" w:eastAsiaTheme="minorHAnsi" w:hAnsi="Helvetica 45 Light" w:cs="Arial"/>
          <w:i/>
          <w:sz w:val="19"/>
          <w:szCs w:val="19"/>
          <w:lang w:val="de-CH"/>
        </w:rPr>
        <w:t xml:space="preserve">Diese Massnahme kann bei unbebauten oder teilweise bebauten Grundstücken angewendet werden. Bei der </w:t>
      </w:r>
      <w:proofErr w:type="spellStart"/>
      <w:r w:rsidRPr="00D61673">
        <w:rPr>
          <w:rFonts w:ascii="Helvetica 45 Light" w:eastAsiaTheme="minorHAnsi" w:hAnsi="Helvetica 45 Light" w:cs="Arial"/>
          <w:i/>
          <w:sz w:val="19"/>
          <w:szCs w:val="19"/>
          <w:lang w:val="de-CH"/>
        </w:rPr>
        <w:t>Einzonung</w:t>
      </w:r>
      <w:proofErr w:type="spellEnd"/>
      <w:r w:rsidRPr="00D61673">
        <w:rPr>
          <w:rFonts w:ascii="Helvetica 45 Light" w:eastAsiaTheme="minorHAnsi" w:hAnsi="Helvetica 45 Light" w:cs="Arial"/>
          <w:i/>
          <w:sz w:val="19"/>
          <w:szCs w:val="19"/>
          <w:lang w:val="de-CH"/>
        </w:rPr>
        <w:t xml:space="preserve"> wird in einem Vertrag festgeleg</w:t>
      </w:r>
      <w:r w:rsidR="0076534F">
        <w:rPr>
          <w:rFonts w:ascii="Helvetica 45 Light" w:eastAsiaTheme="minorHAnsi" w:hAnsi="Helvetica 45 Light" w:cs="Arial"/>
          <w:i/>
          <w:sz w:val="19"/>
          <w:szCs w:val="19"/>
          <w:lang w:val="de-CH"/>
        </w:rPr>
        <w:t>t, dass die Gemeinde das betref</w:t>
      </w:r>
      <w:r w:rsidRPr="00D61673">
        <w:rPr>
          <w:rFonts w:ascii="Helvetica 45 Light" w:eastAsiaTheme="minorHAnsi" w:hAnsi="Helvetica 45 Light" w:cs="Arial"/>
          <w:i/>
          <w:sz w:val="19"/>
          <w:szCs w:val="19"/>
          <w:lang w:val="de-CH"/>
        </w:rPr>
        <w:t>fende Grundstück entweder zurückkaufen kann, falls e</w:t>
      </w:r>
      <w:r w:rsidR="0076534F">
        <w:rPr>
          <w:rFonts w:ascii="Helvetica 45 Light" w:eastAsiaTheme="minorHAnsi" w:hAnsi="Helvetica 45 Light" w:cs="Arial"/>
          <w:i/>
          <w:sz w:val="19"/>
          <w:szCs w:val="19"/>
          <w:lang w:val="de-CH"/>
        </w:rPr>
        <w:t>s nicht innerhalb einer bestimm</w:t>
      </w:r>
      <w:r w:rsidRPr="00D61673">
        <w:rPr>
          <w:rFonts w:ascii="Helvetica 45 Light" w:eastAsiaTheme="minorHAnsi" w:hAnsi="Helvetica 45 Light" w:cs="Arial"/>
          <w:i/>
          <w:sz w:val="19"/>
          <w:szCs w:val="19"/>
          <w:lang w:val="de-CH"/>
        </w:rPr>
        <w:t xml:space="preserve">ten Frist überbaut wird (Kaufrecht), oder andere Sanktionen verhängen kann, beispielsweise eine </w:t>
      </w:r>
      <w:proofErr w:type="spellStart"/>
      <w:r w:rsidRPr="00D61673">
        <w:rPr>
          <w:rFonts w:ascii="Helvetica 45 Light" w:eastAsiaTheme="minorHAnsi" w:hAnsi="Helvetica 45 Light" w:cs="Arial"/>
          <w:i/>
          <w:sz w:val="19"/>
          <w:szCs w:val="19"/>
          <w:lang w:val="de-CH"/>
        </w:rPr>
        <w:t>Rückzonung</w:t>
      </w:r>
      <w:proofErr w:type="spellEnd"/>
      <w:r w:rsidRPr="00D61673">
        <w:rPr>
          <w:rFonts w:ascii="Helvetica 45 Light" w:eastAsiaTheme="minorHAnsi" w:hAnsi="Helvetica 45 Light" w:cs="Arial"/>
          <w:i/>
          <w:sz w:val="19"/>
          <w:szCs w:val="19"/>
          <w:lang w:val="de-CH"/>
        </w:rPr>
        <w:t xml:space="preserve"> ohne Entschädigung. Die Fristen können die Planung, die Erschliessung oder die Überbauung betreffen.</w:t>
      </w:r>
      <w:r w:rsidR="009D5C6D">
        <w:rPr>
          <w:rStyle w:val="Appelnotedebasdep"/>
          <w:rFonts w:ascii="Helvetica 45 Light" w:eastAsiaTheme="minorHAnsi" w:hAnsi="Helvetica 45 Light" w:cs="Arial"/>
          <w:i/>
          <w:sz w:val="19"/>
          <w:szCs w:val="19"/>
          <w:lang w:val="de-CH"/>
        </w:rPr>
        <w:footnoteReference w:id="1"/>
      </w:r>
    </w:p>
    <w:p w14:paraId="7D200ABC" w14:textId="77777777" w:rsidR="00D61673" w:rsidRPr="00D61673" w:rsidRDefault="00D61673" w:rsidP="00D61673">
      <w:pPr>
        <w:spacing w:line="252" w:lineRule="auto"/>
        <w:ind w:left="708"/>
        <w:jc w:val="both"/>
        <w:rPr>
          <w:rFonts w:ascii="Helvetica 45 Light" w:eastAsiaTheme="minorHAnsi" w:hAnsi="Helvetica 45 Light" w:cs="Arial"/>
          <w:sz w:val="19"/>
          <w:szCs w:val="19"/>
          <w:lang w:val="de-CH"/>
        </w:rPr>
      </w:pPr>
    </w:p>
    <w:p w14:paraId="738C450E" w14:textId="26A961F5" w:rsidR="004067A8" w:rsidRDefault="00D61673" w:rsidP="00D61673">
      <w:pPr>
        <w:pStyle w:val="Paragraphedeliste"/>
        <w:numPr>
          <w:ilvl w:val="0"/>
          <w:numId w:val="28"/>
        </w:numPr>
        <w:spacing w:line="252" w:lineRule="auto"/>
        <w:jc w:val="both"/>
        <w:rPr>
          <w:rFonts w:ascii="Helvetica 45 Light" w:eastAsiaTheme="minorHAnsi" w:hAnsi="Helvetica 45 Light" w:cs="Arial"/>
          <w:sz w:val="19"/>
          <w:szCs w:val="19"/>
          <w:lang w:val="de-CH"/>
        </w:rPr>
      </w:pPr>
      <w:proofErr w:type="spellStart"/>
      <w:r w:rsidRPr="00D61673">
        <w:rPr>
          <w:rFonts w:ascii="Helvetica 45 Light" w:eastAsiaTheme="minorHAnsi" w:hAnsi="Helvetica 45 Light" w:cs="Arial"/>
          <w:b/>
          <w:sz w:val="19"/>
          <w:szCs w:val="19"/>
          <w:lang w:val="de-CH"/>
        </w:rPr>
        <w:t>Einzonung</w:t>
      </w:r>
      <w:proofErr w:type="spellEnd"/>
      <w:r w:rsidRPr="00D61673">
        <w:rPr>
          <w:rFonts w:ascii="Helvetica 45 Light" w:eastAsiaTheme="minorHAnsi" w:hAnsi="Helvetica 45 Light" w:cs="Arial"/>
          <w:b/>
          <w:sz w:val="19"/>
          <w:szCs w:val="19"/>
          <w:lang w:val="de-CH"/>
        </w:rPr>
        <w:t xml:space="preserve"> für ein einzelnes Projekt </w:t>
      </w:r>
      <w:r w:rsidRPr="00D61673">
        <w:rPr>
          <w:rFonts w:ascii="Helvetica 45 Light" w:eastAsiaTheme="minorHAnsi" w:hAnsi="Helvetica 45 Light" w:cs="Arial"/>
          <w:sz w:val="19"/>
          <w:szCs w:val="19"/>
          <w:lang w:val="de-CH"/>
        </w:rPr>
        <w:t>(Art. 16a) unter der Bedingung, dass die Bauarbeiten innerhalb einer Frist von fünf Jahren aufgenommen werden. Wird diese Bedingung nicht erfüllt, wird das Grundstück wieder seiner ursprünglichen Nutzung zugeführt.</w:t>
      </w:r>
    </w:p>
    <w:p w14:paraId="4B1FCA3F" w14:textId="28CD22FD" w:rsidR="00D61673" w:rsidRDefault="00D61673" w:rsidP="00D61673">
      <w:pPr>
        <w:pStyle w:val="Paragraphedeliste"/>
        <w:spacing w:line="252" w:lineRule="auto"/>
        <w:jc w:val="both"/>
        <w:rPr>
          <w:rFonts w:ascii="Helvetica 45 Light" w:eastAsiaTheme="minorHAnsi" w:hAnsi="Helvetica 45 Light" w:cs="Arial"/>
          <w:sz w:val="19"/>
          <w:szCs w:val="19"/>
          <w:lang w:val="de-CH"/>
        </w:rPr>
      </w:pPr>
    </w:p>
    <w:p w14:paraId="49DAD32D" w14:textId="738160E4" w:rsidR="009D5C6D" w:rsidRPr="009B4568" w:rsidRDefault="009D5C6D" w:rsidP="009B4568">
      <w:pPr>
        <w:spacing w:line="252" w:lineRule="auto"/>
        <w:jc w:val="both"/>
        <w:rPr>
          <w:rFonts w:ascii="Helvetica 45 Light" w:eastAsiaTheme="minorHAnsi" w:hAnsi="Helvetica 45 Light" w:cs="Arial"/>
          <w:sz w:val="18"/>
          <w:szCs w:val="18"/>
          <w:lang w:val="de-CH"/>
        </w:rPr>
      </w:pPr>
    </w:p>
    <w:p w14:paraId="11FCCC45" w14:textId="77777777" w:rsidR="00D61673" w:rsidRPr="00DC3C83" w:rsidRDefault="00D61673" w:rsidP="00DC3C83">
      <w:pPr>
        <w:spacing w:line="240" w:lineRule="exact"/>
        <w:ind w:left="708"/>
        <w:jc w:val="both"/>
        <w:rPr>
          <w:rFonts w:ascii="Helvetica 45 Light" w:eastAsiaTheme="minorHAnsi" w:hAnsi="Helvetica 45 Light" w:cs="Arial"/>
          <w:i/>
          <w:sz w:val="19"/>
          <w:szCs w:val="19"/>
          <w:lang w:val="de-CH" w:eastAsia="en-US"/>
        </w:rPr>
      </w:pPr>
      <w:r w:rsidRPr="00DC3C83">
        <w:rPr>
          <w:rFonts w:ascii="Helvetica 45 Light" w:eastAsiaTheme="minorHAnsi" w:hAnsi="Helvetica 45 Light" w:cs="Arial"/>
          <w:i/>
          <w:sz w:val="19"/>
          <w:szCs w:val="19"/>
          <w:lang w:val="de-CH"/>
        </w:rPr>
        <w:lastRenderedPageBreak/>
        <w:t>In diesem Fall verfügt der Eigentümer über eine Frist von fünf Jahren, um eine Baubewilligung zu erhalten und mit dem Bau zu beginnen. Wenn er dies nicht tut, wird das Grundstück ohne weiteres Verfahren wieder seiner ursprünglichen Nutzung zugeführt.</w:t>
      </w:r>
    </w:p>
    <w:p w14:paraId="6FA345DE" w14:textId="2EA441D2" w:rsidR="00D61673" w:rsidRPr="00D61673" w:rsidRDefault="00D61673" w:rsidP="004067A8">
      <w:pPr>
        <w:spacing w:line="252" w:lineRule="auto"/>
        <w:jc w:val="both"/>
        <w:rPr>
          <w:rFonts w:ascii="Helvetica 45 Light" w:eastAsiaTheme="minorHAnsi" w:hAnsi="Helvetica 45 Light" w:cs="Arial"/>
          <w:sz w:val="19"/>
          <w:szCs w:val="19"/>
          <w:lang w:val="de-CH"/>
        </w:rPr>
      </w:pPr>
    </w:p>
    <w:p w14:paraId="3976E317" w14:textId="77777777" w:rsidR="00D61673" w:rsidRPr="0076187F" w:rsidRDefault="00D61673" w:rsidP="00D61673">
      <w:pPr>
        <w:pStyle w:val="Paragraphedeliste"/>
        <w:numPr>
          <w:ilvl w:val="0"/>
          <w:numId w:val="32"/>
        </w:numPr>
        <w:spacing w:after="120" w:line="240" w:lineRule="exact"/>
        <w:ind w:left="714" w:hanging="357"/>
        <w:jc w:val="both"/>
        <w:rPr>
          <w:rFonts w:ascii="Helvetica 45 Light" w:eastAsiaTheme="minorHAnsi" w:hAnsi="Helvetica 45 Light" w:cs="Arial"/>
          <w:sz w:val="19"/>
          <w:szCs w:val="19"/>
          <w:lang w:val="de-CH"/>
        </w:rPr>
      </w:pPr>
      <w:r w:rsidRPr="0076187F">
        <w:rPr>
          <w:rFonts w:ascii="Helvetica 45 Light" w:eastAsiaTheme="minorHAnsi" w:hAnsi="Helvetica 45 Light" w:cs="Arial"/>
          <w:b/>
          <w:sz w:val="19"/>
          <w:szCs w:val="19"/>
          <w:lang w:val="de-CH"/>
        </w:rPr>
        <w:t>Bauverpflichtung</w:t>
      </w:r>
      <w:r w:rsidRPr="0076187F">
        <w:rPr>
          <w:rFonts w:ascii="Helvetica 45 Light" w:eastAsiaTheme="minorHAnsi" w:hAnsi="Helvetica 45 Light" w:cs="Arial"/>
          <w:sz w:val="19"/>
          <w:szCs w:val="19"/>
          <w:lang w:val="de-CH"/>
        </w:rPr>
        <w:t xml:space="preserve"> in der Form eines Entscheides der Gemeinde (Art. 16b) mit einer Mindestfrist von 10 Jahren, falls das öffentliche Interesse dies rechtfertigt und das Bau- und Zonenreglement (BZR) dies vorsieht. Werden die Grundstücke innerhalb der vorgesehenen Fristen nicht überbaut, kann die Gemeinde von ihrem Kaufrecht Gebrauch machen (Art. 16c Abs. 1) oder sie </w:t>
      </w:r>
      <w:proofErr w:type="spellStart"/>
      <w:r w:rsidRPr="0076187F">
        <w:rPr>
          <w:rFonts w:ascii="Helvetica 45 Light" w:eastAsiaTheme="minorHAnsi" w:hAnsi="Helvetica 45 Light" w:cs="Arial"/>
          <w:sz w:val="19"/>
          <w:szCs w:val="19"/>
          <w:lang w:val="de-CH"/>
        </w:rPr>
        <w:t>auszonen</w:t>
      </w:r>
      <w:proofErr w:type="spellEnd"/>
      <w:r w:rsidRPr="0076187F">
        <w:rPr>
          <w:rFonts w:ascii="Helvetica 45 Light" w:eastAsiaTheme="minorHAnsi" w:hAnsi="Helvetica 45 Light" w:cs="Arial"/>
          <w:sz w:val="19"/>
          <w:szCs w:val="19"/>
          <w:lang w:val="de-CH"/>
        </w:rPr>
        <w:t xml:space="preserve"> (Art. 16c Abs. 3).</w:t>
      </w:r>
    </w:p>
    <w:p w14:paraId="65EEA2C1" w14:textId="5AE93B13" w:rsidR="004067A8" w:rsidRDefault="00D61673" w:rsidP="00D61673">
      <w:pPr>
        <w:spacing w:line="252" w:lineRule="auto"/>
        <w:ind w:left="708"/>
        <w:jc w:val="both"/>
        <w:rPr>
          <w:rFonts w:ascii="Helvetica 45 Light" w:eastAsiaTheme="minorHAnsi" w:hAnsi="Helvetica 45 Light" w:cs="Arial"/>
          <w:i/>
          <w:sz w:val="19"/>
          <w:szCs w:val="19"/>
          <w:lang w:val="de-CH"/>
        </w:rPr>
      </w:pPr>
      <w:r w:rsidRPr="00D61673">
        <w:rPr>
          <w:rFonts w:ascii="Helvetica 45 Light" w:eastAsiaTheme="minorHAnsi" w:hAnsi="Helvetica 45 Light" w:cs="Arial"/>
          <w:i/>
          <w:sz w:val="19"/>
          <w:szCs w:val="19"/>
          <w:lang w:val="de-CH"/>
        </w:rPr>
        <w:t xml:space="preserve">Der Rückgriff auf die Bauverpflichtung kann nur in Betracht gezogen werden, wenn zu wenig Bauland verfügbar ist oder wenn die Überbauung des betreffenden Grundstücks einem übergeordneten öffentlichen Interesse entspricht. Um den Eigentümern eine Frist zur Überbauung gemäss Art. 16b </w:t>
      </w:r>
      <w:proofErr w:type="spellStart"/>
      <w:r w:rsidRPr="00D61673">
        <w:rPr>
          <w:rFonts w:ascii="Helvetica 45 Light" w:eastAsiaTheme="minorHAnsi" w:hAnsi="Helvetica 45 Light" w:cs="Arial"/>
          <w:i/>
          <w:sz w:val="19"/>
          <w:szCs w:val="19"/>
          <w:lang w:val="de-CH"/>
        </w:rPr>
        <w:t>kRPG</w:t>
      </w:r>
      <w:proofErr w:type="spellEnd"/>
      <w:r w:rsidRPr="00D61673">
        <w:rPr>
          <w:rFonts w:ascii="Helvetica 45 Light" w:eastAsiaTheme="minorHAnsi" w:hAnsi="Helvetica 45 Light" w:cs="Arial"/>
          <w:i/>
          <w:sz w:val="19"/>
          <w:szCs w:val="19"/>
          <w:lang w:val="de-CH"/>
        </w:rPr>
        <w:t xml:space="preserve"> auferlegen zu können, muss ein diesbezüglicher Artikel im BZR vorgesehen werden, in dem die Details geregelt werden.</w:t>
      </w:r>
    </w:p>
    <w:p w14:paraId="408C2291" w14:textId="77777777" w:rsidR="00D61673" w:rsidRPr="00D61673" w:rsidRDefault="00D61673" w:rsidP="00D61673">
      <w:pPr>
        <w:spacing w:line="252" w:lineRule="auto"/>
        <w:ind w:left="708"/>
        <w:jc w:val="both"/>
        <w:rPr>
          <w:rFonts w:ascii="Helvetica 45 Light" w:eastAsiaTheme="minorHAnsi" w:hAnsi="Helvetica 45 Light" w:cs="Arial"/>
          <w:sz w:val="19"/>
          <w:szCs w:val="19"/>
          <w:lang w:val="de-CH"/>
        </w:rPr>
      </w:pPr>
    </w:p>
    <w:p w14:paraId="7A8B5D33" w14:textId="77777777" w:rsidR="00D61673" w:rsidRPr="00D61673" w:rsidRDefault="00D61673" w:rsidP="00D61673">
      <w:pPr>
        <w:pStyle w:val="Paragraphedeliste"/>
        <w:numPr>
          <w:ilvl w:val="0"/>
          <w:numId w:val="32"/>
        </w:numPr>
        <w:spacing w:after="120" w:line="240" w:lineRule="exact"/>
        <w:ind w:left="714" w:hanging="357"/>
        <w:jc w:val="both"/>
        <w:rPr>
          <w:rFonts w:ascii="Helvetica 45 Light" w:eastAsiaTheme="minorHAnsi" w:hAnsi="Helvetica 45 Light" w:cs="Arial"/>
          <w:sz w:val="19"/>
          <w:szCs w:val="19"/>
        </w:rPr>
      </w:pPr>
      <w:proofErr w:type="spellStart"/>
      <w:r w:rsidRPr="00D61673">
        <w:rPr>
          <w:rFonts w:ascii="Helvetica 45 Light" w:eastAsiaTheme="minorHAnsi" w:hAnsi="Helvetica 45 Light" w:cs="Arial"/>
          <w:sz w:val="19"/>
          <w:szCs w:val="19"/>
        </w:rPr>
        <w:t>Parzellenumlegung</w:t>
      </w:r>
      <w:proofErr w:type="spellEnd"/>
      <w:r w:rsidRPr="00D61673">
        <w:rPr>
          <w:rFonts w:ascii="Helvetica 45 Light" w:eastAsiaTheme="minorHAnsi" w:hAnsi="Helvetica 45 Light" w:cs="Arial"/>
          <w:sz w:val="19"/>
          <w:szCs w:val="19"/>
        </w:rPr>
        <w:t xml:space="preserve"> </w:t>
      </w:r>
      <w:proofErr w:type="spellStart"/>
      <w:r w:rsidRPr="00D61673">
        <w:rPr>
          <w:rFonts w:ascii="Helvetica 45 Light" w:eastAsiaTheme="minorHAnsi" w:hAnsi="Helvetica 45 Light" w:cs="Arial"/>
          <w:sz w:val="19"/>
          <w:szCs w:val="19"/>
        </w:rPr>
        <w:t>oder</w:t>
      </w:r>
      <w:proofErr w:type="spellEnd"/>
      <w:r w:rsidRPr="00D61673">
        <w:rPr>
          <w:rFonts w:ascii="Helvetica 45 Light" w:eastAsiaTheme="minorHAnsi" w:hAnsi="Helvetica 45 Light" w:cs="Arial"/>
          <w:sz w:val="19"/>
          <w:szCs w:val="19"/>
        </w:rPr>
        <w:t xml:space="preserve"> </w:t>
      </w:r>
      <w:proofErr w:type="spellStart"/>
      <w:r w:rsidRPr="00294632">
        <w:rPr>
          <w:rFonts w:ascii="Helvetica 45 Light" w:eastAsiaTheme="minorHAnsi" w:hAnsi="Helvetica 45 Light" w:cs="Arial"/>
          <w:b/>
          <w:sz w:val="19"/>
          <w:szCs w:val="19"/>
        </w:rPr>
        <w:t>Landumlegung</w:t>
      </w:r>
      <w:proofErr w:type="spellEnd"/>
      <w:r w:rsidRPr="00D61673">
        <w:rPr>
          <w:rFonts w:ascii="Helvetica 45 Light" w:eastAsiaTheme="minorHAnsi" w:hAnsi="Helvetica 45 Light" w:cs="Arial"/>
          <w:sz w:val="19"/>
          <w:szCs w:val="19"/>
        </w:rPr>
        <w:t xml:space="preserve"> (Art. 17).</w:t>
      </w:r>
    </w:p>
    <w:p w14:paraId="62901808" w14:textId="77777777" w:rsidR="004067A8" w:rsidRPr="004067A8" w:rsidRDefault="004067A8" w:rsidP="004067A8">
      <w:pPr>
        <w:pStyle w:val="Paragraphedeliste"/>
        <w:spacing w:line="252" w:lineRule="auto"/>
        <w:jc w:val="both"/>
        <w:rPr>
          <w:rFonts w:ascii="Helvetica 45 Light" w:eastAsiaTheme="minorHAnsi" w:hAnsi="Helvetica 45 Light" w:cs="Arial"/>
          <w:sz w:val="19"/>
          <w:szCs w:val="19"/>
        </w:rPr>
      </w:pPr>
    </w:p>
    <w:p w14:paraId="69D30E68" w14:textId="1B1CC040" w:rsidR="004067A8" w:rsidRPr="001B733A" w:rsidRDefault="0076187F" w:rsidP="0076187F">
      <w:pPr>
        <w:spacing w:line="252" w:lineRule="auto"/>
        <w:ind w:firstLine="708"/>
        <w:jc w:val="both"/>
        <w:rPr>
          <w:rFonts w:ascii="Helvetica 45 Light" w:eastAsiaTheme="minorHAnsi" w:hAnsi="Helvetica 45 Light" w:cs="Arial"/>
          <w:i/>
          <w:sz w:val="19"/>
          <w:szCs w:val="19"/>
          <w:lang w:val="de-CH"/>
        </w:rPr>
      </w:pPr>
      <w:r w:rsidRPr="001B733A">
        <w:rPr>
          <w:rFonts w:ascii="Helvetica 45 Light" w:eastAsiaTheme="minorHAnsi" w:hAnsi="Helvetica 45 Light" w:cs="Arial"/>
          <w:i/>
          <w:sz w:val="19"/>
          <w:szCs w:val="19"/>
          <w:lang w:val="de-CH"/>
        </w:rPr>
        <w:t>Vgl. diesbezüglichen Musterartikel.</w:t>
      </w:r>
    </w:p>
    <w:p w14:paraId="39081C69" w14:textId="77777777" w:rsidR="0076187F" w:rsidRPr="001B733A" w:rsidRDefault="0076187F" w:rsidP="0076187F">
      <w:pPr>
        <w:spacing w:line="252" w:lineRule="auto"/>
        <w:ind w:firstLine="708"/>
        <w:jc w:val="both"/>
        <w:rPr>
          <w:rFonts w:ascii="Helvetica 45 Light" w:eastAsiaTheme="minorHAnsi" w:hAnsi="Helvetica 45 Light" w:cs="Arial"/>
          <w:sz w:val="19"/>
          <w:szCs w:val="19"/>
          <w:lang w:val="de-CH"/>
        </w:rPr>
      </w:pPr>
    </w:p>
    <w:p w14:paraId="1C9AF58A" w14:textId="1E1DFC32" w:rsidR="000A0E33" w:rsidRDefault="00294632" w:rsidP="004067A8">
      <w:pPr>
        <w:spacing w:line="252" w:lineRule="auto"/>
        <w:jc w:val="both"/>
        <w:rPr>
          <w:rFonts w:ascii="Helvetica 45 Light" w:eastAsiaTheme="minorHAnsi" w:hAnsi="Helvetica 45 Light" w:cs="Arial"/>
          <w:sz w:val="19"/>
          <w:szCs w:val="19"/>
          <w:vertAlign w:val="superscript"/>
          <w:lang w:val="de-CH"/>
        </w:rPr>
      </w:pPr>
      <w:r w:rsidRPr="00294632">
        <w:rPr>
          <w:rFonts w:ascii="Helvetica 45 Light" w:eastAsiaTheme="minorHAnsi" w:hAnsi="Helvetica 45 Light" w:cs="Arial"/>
          <w:sz w:val="19"/>
          <w:szCs w:val="19"/>
          <w:lang w:val="de-CH"/>
        </w:rPr>
        <w:t>Es ist darauf hinzuweisen, dass die Mehrwertabgabe nicht als Mittel gegen die Baulandhortung betrachtet wird.</w:t>
      </w:r>
      <w:r w:rsidR="009D5C6D">
        <w:rPr>
          <w:rStyle w:val="Appelnotedebasdep"/>
          <w:rFonts w:ascii="Helvetica 45 Light" w:eastAsiaTheme="minorHAnsi" w:hAnsi="Helvetica 45 Light" w:cs="Arial"/>
          <w:sz w:val="19"/>
          <w:szCs w:val="19"/>
          <w:lang w:val="de-CH"/>
        </w:rPr>
        <w:footnoteReference w:id="2"/>
      </w:r>
    </w:p>
    <w:p w14:paraId="57D3496E" w14:textId="77777777" w:rsidR="0076187F" w:rsidRPr="00294632" w:rsidRDefault="0076187F" w:rsidP="004067A8">
      <w:pPr>
        <w:spacing w:line="252" w:lineRule="auto"/>
        <w:jc w:val="both"/>
        <w:rPr>
          <w:rFonts w:ascii="Helvetica 45 Light" w:eastAsiaTheme="minorHAnsi" w:hAnsi="Helvetica 45 Light" w:cs="Arial"/>
          <w:sz w:val="19"/>
          <w:szCs w:val="19"/>
          <w:lang w:val="de-CH"/>
        </w:rPr>
      </w:pPr>
    </w:p>
    <w:p w14:paraId="736543C6" w14:textId="77777777" w:rsidR="0076187F" w:rsidRPr="0076534F" w:rsidRDefault="0076187F" w:rsidP="004067A8">
      <w:pPr>
        <w:spacing w:line="252" w:lineRule="auto"/>
        <w:jc w:val="both"/>
        <w:rPr>
          <w:rFonts w:ascii="Helvetica 55 Roman" w:eastAsiaTheme="minorHAnsi" w:hAnsi="Helvetica 55 Roman" w:cs="Arial"/>
          <w:b/>
          <w:sz w:val="21"/>
          <w:szCs w:val="21"/>
          <w:lang w:val="de-CH"/>
        </w:rPr>
      </w:pPr>
      <w:r w:rsidRPr="0076534F">
        <w:rPr>
          <w:rFonts w:ascii="Helvetica 55 Roman" w:eastAsiaTheme="minorHAnsi" w:hAnsi="Helvetica 55 Roman" w:cs="Arial"/>
          <w:b/>
          <w:sz w:val="21"/>
          <w:szCs w:val="21"/>
          <w:lang w:val="de-CH"/>
        </w:rPr>
        <w:t>Bedürfnisnachweis und Begründung des Standorts</w:t>
      </w:r>
    </w:p>
    <w:p w14:paraId="762D0C46" w14:textId="77777777" w:rsidR="0076187F" w:rsidRPr="0076534F" w:rsidRDefault="0076187F" w:rsidP="004067A8">
      <w:pPr>
        <w:spacing w:line="252" w:lineRule="auto"/>
        <w:jc w:val="both"/>
        <w:rPr>
          <w:rFonts w:ascii="Helvetica 55 Roman" w:eastAsiaTheme="minorHAnsi" w:hAnsi="Helvetica 55 Roman" w:cs="Arial"/>
          <w:b/>
          <w:sz w:val="21"/>
          <w:szCs w:val="21"/>
          <w:lang w:val="de-CH"/>
        </w:rPr>
      </w:pPr>
    </w:p>
    <w:p w14:paraId="49C3DD8F" w14:textId="3C5DB4F9" w:rsidR="004067A8" w:rsidRDefault="0076187F" w:rsidP="004067A8">
      <w:pPr>
        <w:spacing w:line="252" w:lineRule="auto"/>
        <w:jc w:val="both"/>
        <w:rPr>
          <w:rFonts w:ascii="Helvetica 45 Light" w:eastAsiaTheme="minorHAnsi" w:hAnsi="Helvetica 45 Light" w:cs="Arial"/>
          <w:sz w:val="19"/>
          <w:szCs w:val="19"/>
          <w:lang w:val="de-CH"/>
        </w:rPr>
      </w:pPr>
      <w:r w:rsidRPr="0076187F">
        <w:rPr>
          <w:rFonts w:ascii="Helvetica 45 Light" w:eastAsiaTheme="minorHAnsi" w:hAnsi="Helvetica 45 Light" w:cs="Arial"/>
          <w:sz w:val="19"/>
          <w:szCs w:val="19"/>
          <w:lang w:val="de-CH"/>
        </w:rPr>
        <w:t>Gemäss Bundesrecht muss der Kanton seine Bauzonen so fest</w:t>
      </w:r>
      <w:r w:rsidR="0076534F">
        <w:rPr>
          <w:rFonts w:ascii="Helvetica 45 Light" w:eastAsiaTheme="minorHAnsi" w:hAnsi="Helvetica 45 Light" w:cs="Arial"/>
          <w:sz w:val="19"/>
          <w:szCs w:val="19"/>
          <w:lang w:val="de-CH"/>
        </w:rPr>
        <w:t>legen, dass sie dem voraussicht</w:t>
      </w:r>
      <w:r w:rsidRPr="0076187F">
        <w:rPr>
          <w:rFonts w:ascii="Helvetica 45 Light" w:eastAsiaTheme="minorHAnsi" w:hAnsi="Helvetica 45 Light" w:cs="Arial"/>
          <w:sz w:val="19"/>
          <w:szCs w:val="19"/>
          <w:lang w:val="de-CH"/>
        </w:rPr>
        <w:t>lichen Bedarf von 15 Jahren entsprechen. In der Praxis zeigt sich jedoch, dass viele Grundstücke aus unterschiedlichen Gründen (Baulandhortung, schlechter Standort, unzureichende Grundstückstruktur usw.) während vieler Jahre nicht bebaut werden. Aufgrund der Baulandhortung sehen sich die Gemeinden dazu veranlasst, neue Bauzonen zu schaffen, um die Nachfrage nach Bauland zu befriedigen. Dies erhöht den Druck auf das umliegende Land und das landwirtschaftliche Gebiet und trägt zu einer Ausdehnung des bebauten Gebietes bei, was im Widerspruch zu den Zielsetzungen der Siedlungsverdichtung steht.</w:t>
      </w:r>
    </w:p>
    <w:p w14:paraId="67AE8020" w14:textId="77777777" w:rsidR="0076187F" w:rsidRPr="0076187F" w:rsidRDefault="0076187F" w:rsidP="004067A8">
      <w:pPr>
        <w:spacing w:line="252" w:lineRule="auto"/>
        <w:jc w:val="both"/>
        <w:rPr>
          <w:rFonts w:ascii="Helvetica 45 Light" w:eastAsiaTheme="minorHAnsi" w:hAnsi="Helvetica 45 Light" w:cs="Arial"/>
          <w:sz w:val="19"/>
          <w:szCs w:val="19"/>
          <w:lang w:val="de-CH"/>
        </w:rPr>
      </w:pPr>
    </w:p>
    <w:p w14:paraId="740F1314" w14:textId="3E5094B7" w:rsidR="004067A8" w:rsidRDefault="00F567B6" w:rsidP="004067A8">
      <w:pPr>
        <w:spacing w:line="252" w:lineRule="auto"/>
        <w:jc w:val="both"/>
        <w:rPr>
          <w:rFonts w:ascii="Helvetica 45 Light" w:eastAsiaTheme="minorHAnsi" w:hAnsi="Helvetica 45 Light" w:cs="Arial"/>
          <w:sz w:val="19"/>
          <w:szCs w:val="19"/>
          <w:lang w:val="de-CH"/>
        </w:rPr>
      </w:pPr>
      <w:r w:rsidRPr="00F567B6">
        <w:rPr>
          <w:rFonts w:ascii="Helvetica 45 Light" w:eastAsiaTheme="minorHAnsi" w:hAnsi="Helvetica 45 Light" w:cs="Arial"/>
          <w:sz w:val="19"/>
          <w:szCs w:val="19"/>
          <w:lang w:val="de-CH"/>
        </w:rPr>
        <w:t>Die Bodenpolitik ist deshalb ein wesentlicher Bestandteil jeder aktiven Raumplanungspolitik. Sie ermöglicht es der Gemeinde, mit den oben erläuterten Instrumenten Einfluss auf die bebauten und unbebauten Grundstücke zu nehmen, um die kommunalen räumlichen Entwicklungsabsichten zu verwirklichen, kompakte Siedlungen zu schaffen und die Bebaubarkeit der Grundstücke zu verbessern.</w:t>
      </w:r>
    </w:p>
    <w:p w14:paraId="3465F56A" w14:textId="77777777" w:rsidR="00F567B6" w:rsidRPr="00F567B6" w:rsidRDefault="00F567B6" w:rsidP="004067A8">
      <w:pPr>
        <w:spacing w:line="252" w:lineRule="auto"/>
        <w:jc w:val="both"/>
        <w:rPr>
          <w:rFonts w:ascii="Helvetica 45 Light" w:eastAsiaTheme="minorHAnsi" w:hAnsi="Helvetica 45 Light" w:cs="Arial"/>
          <w:sz w:val="19"/>
          <w:szCs w:val="19"/>
          <w:lang w:val="de-CH"/>
        </w:rPr>
      </w:pPr>
    </w:p>
    <w:p w14:paraId="3D889CA2" w14:textId="71D553CB" w:rsidR="004067A8" w:rsidRDefault="00F567B6" w:rsidP="004067A8">
      <w:pPr>
        <w:spacing w:line="252" w:lineRule="auto"/>
        <w:jc w:val="both"/>
        <w:rPr>
          <w:rFonts w:ascii="Helvetica 45 Light" w:eastAsiaTheme="minorHAnsi" w:hAnsi="Helvetica 45 Light" w:cs="Arial"/>
          <w:sz w:val="19"/>
          <w:szCs w:val="19"/>
          <w:lang w:val="de-CH"/>
        </w:rPr>
      </w:pPr>
      <w:r w:rsidRPr="00F567B6">
        <w:rPr>
          <w:rFonts w:ascii="Helvetica 45 Light" w:eastAsiaTheme="minorHAnsi" w:hAnsi="Helvetica 45 Light" w:cs="Arial"/>
          <w:sz w:val="19"/>
          <w:szCs w:val="19"/>
          <w:lang w:val="de-CH"/>
        </w:rPr>
        <w:t xml:space="preserve">Durch die Umsetzung einer Bodenpolitik kann die Gemeinde nicht nur darauf hinwirken, dass sie über die notwendigen Grundstücke am richtigen Ort und zur richtigen Zeit verfügt. Ebenso kann sie die Infrastruktur- und Erschliessungskosten besser kontrollieren und dafür sorgen, dass die Grundstückpreise der gewünschten Entwicklung entsprechen. Selbst wenn die Kontrolle über das Gemeindegebiet von Behörden, privaten Eigentümern und anderen territorialen Akteuren geteilt wird, kann die Gemeinde eine vorrangige Rolle spielen: Sie kann ein Stück Land gegen ein anderes tauschen, um die Entwicklung eines Verdichtungsvorhabens an </w:t>
      </w:r>
      <w:r w:rsidR="0076534F">
        <w:rPr>
          <w:rFonts w:ascii="Helvetica 45 Light" w:eastAsiaTheme="minorHAnsi" w:hAnsi="Helvetica 45 Light" w:cs="Arial"/>
          <w:sz w:val="19"/>
          <w:szCs w:val="19"/>
          <w:lang w:val="de-CH"/>
        </w:rPr>
        <w:t>einem strategischen Ort voranzu</w:t>
      </w:r>
      <w:r w:rsidRPr="00F567B6">
        <w:rPr>
          <w:rFonts w:ascii="Helvetica 45 Light" w:eastAsiaTheme="minorHAnsi" w:hAnsi="Helvetica 45 Light" w:cs="Arial"/>
          <w:sz w:val="19"/>
          <w:szCs w:val="19"/>
          <w:lang w:val="de-CH"/>
        </w:rPr>
        <w:t>treiben, oder ein Grundstück im Baurecht an einen Bauträger abtreten und dabei Bedingungen für die Überbauung festlegen.</w:t>
      </w:r>
    </w:p>
    <w:p w14:paraId="6175B6DC" w14:textId="77777777" w:rsidR="00F567B6" w:rsidRPr="00F567B6" w:rsidRDefault="00F567B6" w:rsidP="004067A8">
      <w:pPr>
        <w:spacing w:line="252" w:lineRule="auto"/>
        <w:jc w:val="both"/>
        <w:rPr>
          <w:rFonts w:ascii="Helvetica 45 Light" w:eastAsiaTheme="minorHAnsi" w:hAnsi="Helvetica 45 Light" w:cs="Arial"/>
          <w:sz w:val="19"/>
          <w:szCs w:val="19"/>
          <w:lang w:val="de-CH"/>
        </w:rPr>
      </w:pPr>
    </w:p>
    <w:p w14:paraId="0B39CF46" w14:textId="2B5EACCD" w:rsidR="004067A8" w:rsidRDefault="00F567B6" w:rsidP="004067A8">
      <w:pPr>
        <w:spacing w:line="252" w:lineRule="auto"/>
        <w:jc w:val="both"/>
        <w:rPr>
          <w:rFonts w:ascii="Helvetica 45 Light" w:eastAsiaTheme="minorHAnsi" w:hAnsi="Helvetica 45 Light" w:cs="Arial"/>
          <w:sz w:val="19"/>
          <w:szCs w:val="19"/>
          <w:lang w:val="de-CH"/>
        </w:rPr>
      </w:pPr>
      <w:r w:rsidRPr="00F567B6">
        <w:rPr>
          <w:rFonts w:ascii="Helvetica 45 Light" w:eastAsiaTheme="minorHAnsi" w:hAnsi="Helvetica 45 Light" w:cs="Arial"/>
          <w:sz w:val="19"/>
          <w:szCs w:val="19"/>
          <w:lang w:val="de-CH"/>
        </w:rPr>
        <w:t xml:space="preserve">Sie kann dem betreffenden Eigentümer auch eine Frist für die Überbauung setzen, wobei dies eine subsidiäre Massnahme ist, die nur dann ergriffen werden kann, wenn zu wenig erschlossenes Land zur Verfügung steht oder wenn ein anderes öffentliches Interesse im Sinne von Artikel 16b Absatz 2 </w:t>
      </w:r>
      <w:proofErr w:type="spellStart"/>
      <w:r w:rsidRPr="00F567B6">
        <w:rPr>
          <w:rFonts w:ascii="Helvetica 45 Light" w:eastAsiaTheme="minorHAnsi" w:hAnsi="Helvetica 45 Light" w:cs="Arial"/>
          <w:sz w:val="19"/>
          <w:szCs w:val="19"/>
          <w:lang w:val="de-CH"/>
        </w:rPr>
        <w:t>kRPG</w:t>
      </w:r>
      <w:proofErr w:type="spellEnd"/>
      <w:r w:rsidRPr="00F567B6">
        <w:rPr>
          <w:rFonts w:ascii="Helvetica 45 Light" w:eastAsiaTheme="minorHAnsi" w:hAnsi="Helvetica 45 Light" w:cs="Arial"/>
          <w:sz w:val="19"/>
          <w:szCs w:val="19"/>
          <w:lang w:val="de-CH"/>
        </w:rPr>
        <w:t xml:space="preserve"> gegeben ist. Die Frist für die Realisierung der Über</w:t>
      </w:r>
      <w:r w:rsidR="0076534F">
        <w:rPr>
          <w:rFonts w:ascii="Helvetica 45 Light" w:eastAsiaTheme="minorHAnsi" w:hAnsi="Helvetica 45 Light" w:cs="Arial"/>
          <w:sz w:val="19"/>
          <w:szCs w:val="19"/>
          <w:lang w:val="de-CH"/>
        </w:rPr>
        <w:t>bauung sollte den Umständen ent</w:t>
      </w:r>
      <w:r w:rsidRPr="00F567B6">
        <w:rPr>
          <w:rFonts w:ascii="Helvetica 45 Light" w:eastAsiaTheme="minorHAnsi" w:hAnsi="Helvetica 45 Light" w:cs="Arial"/>
          <w:sz w:val="19"/>
          <w:szCs w:val="19"/>
          <w:lang w:val="de-CH"/>
        </w:rPr>
        <w:t>sprechend festgelegt werden, wobei das gesetzliche Minimum 10 Jahre beträgt.</w:t>
      </w:r>
    </w:p>
    <w:p w14:paraId="7D384381" w14:textId="5595CF0F" w:rsidR="00F567B6" w:rsidRDefault="00F567B6" w:rsidP="004067A8">
      <w:pPr>
        <w:spacing w:line="252" w:lineRule="auto"/>
        <w:jc w:val="both"/>
        <w:rPr>
          <w:rFonts w:ascii="Helvetica 45 Light" w:eastAsiaTheme="minorHAnsi" w:hAnsi="Helvetica 45 Light" w:cs="Arial"/>
          <w:sz w:val="19"/>
          <w:szCs w:val="19"/>
          <w:lang w:val="de-CH"/>
        </w:rPr>
      </w:pPr>
    </w:p>
    <w:p w14:paraId="53E90798" w14:textId="4D03BF78" w:rsidR="00DC3C83" w:rsidRPr="00F567B6" w:rsidRDefault="00DC3C83" w:rsidP="00DC3C83">
      <w:pPr>
        <w:spacing w:line="252" w:lineRule="auto"/>
        <w:jc w:val="both"/>
        <w:rPr>
          <w:rFonts w:ascii="Helvetica 45 Light" w:eastAsiaTheme="minorHAnsi" w:hAnsi="Helvetica 45 Light" w:cs="Arial"/>
          <w:sz w:val="19"/>
          <w:szCs w:val="19"/>
          <w:lang w:val="de-CH"/>
        </w:rPr>
      </w:pPr>
      <w:r w:rsidRPr="00F567B6">
        <w:rPr>
          <w:rFonts w:ascii="Helvetica 45 Light" w:eastAsiaTheme="minorHAnsi" w:hAnsi="Helvetica 45 Light" w:cs="Arial"/>
          <w:sz w:val="19"/>
          <w:szCs w:val="19"/>
          <w:lang w:val="de-CH"/>
        </w:rPr>
        <w:t>Die Behörden können gehortetes Bauland (das bei der Berechnung der Dimensionierung der Bauzonen als Reserve zählt) nicht durch eine Erweiterung der Bauzone kompensieren. Deshalb kann die Entwicklung einer Gemeinde durch Baulandhortung blockiert werden. Die Massnahmen zur Sicherstellung der</w:t>
      </w:r>
      <w:r>
        <w:rPr>
          <w:rFonts w:ascii="Helvetica 45 Light" w:eastAsiaTheme="minorHAnsi" w:hAnsi="Helvetica 45 Light" w:cs="Arial"/>
          <w:sz w:val="19"/>
          <w:szCs w:val="19"/>
          <w:lang w:val="de-CH"/>
        </w:rPr>
        <w:t xml:space="preserve"> </w:t>
      </w:r>
      <w:r w:rsidRPr="00F567B6">
        <w:rPr>
          <w:rFonts w:ascii="Helvetica 45 Light" w:eastAsiaTheme="minorHAnsi" w:hAnsi="Helvetica 45 Light" w:cs="Arial"/>
          <w:sz w:val="19"/>
          <w:szCs w:val="19"/>
          <w:lang w:val="de-CH"/>
        </w:rPr>
        <w:lastRenderedPageBreak/>
        <w:t>Verfügbarkeit von Bauland sind deshalb notwendige Instrumente, mit denen die Gemeinden das Horten von Bauland bekämpfen und eine zweckmässige und rationelle Nutzung des Bodens gewährleisten können.</w:t>
      </w:r>
    </w:p>
    <w:p w14:paraId="121DDE67" w14:textId="03583756" w:rsidR="00473C18" w:rsidRPr="00F567B6" w:rsidRDefault="00473C18" w:rsidP="00C61DD7">
      <w:pPr>
        <w:spacing w:line="252" w:lineRule="auto"/>
        <w:rPr>
          <w:rFonts w:ascii="Helvetica 45 Light" w:eastAsiaTheme="minorHAnsi" w:hAnsi="Helvetica 45 Light" w:cs="Arial"/>
          <w:sz w:val="19"/>
          <w:szCs w:val="19"/>
          <w:lang w:val="de-CH"/>
        </w:rPr>
      </w:pPr>
    </w:p>
    <w:p w14:paraId="2CF27519" w14:textId="5549A221" w:rsidR="00DC3C83" w:rsidRPr="00DC3C83" w:rsidRDefault="00DC3C83" w:rsidP="00D146A0">
      <w:pPr>
        <w:pStyle w:val="ACCorps"/>
        <w:tabs>
          <w:tab w:val="left" w:pos="1134"/>
        </w:tabs>
        <w:spacing w:before="0"/>
        <w:ind w:left="1134" w:hanging="1134"/>
        <w:rPr>
          <w:rFonts w:ascii="Helvetica 55 Roman" w:eastAsiaTheme="minorHAnsi" w:hAnsi="Helvetica 55 Roman" w:cs="Arial"/>
          <w:b/>
          <w:sz w:val="21"/>
          <w:szCs w:val="21"/>
          <w:lang w:val="de-CH"/>
        </w:rPr>
      </w:pPr>
      <w:r w:rsidRPr="00DC3C83">
        <w:rPr>
          <w:rFonts w:ascii="Helvetica 55 Roman" w:eastAsiaTheme="minorHAnsi" w:hAnsi="Helvetica 55 Roman" w:cs="Arial"/>
          <w:b/>
          <w:sz w:val="21"/>
          <w:szCs w:val="21"/>
          <w:lang w:val="de-CH"/>
        </w:rPr>
        <w:t>Vor</w:t>
      </w:r>
      <w:r w:rsidR="008A2E0F">
        <w:rPr>
          <w:rFonts w:ascii="Helvetica 55 Roman" w:eastAsiaTheme="minorHAnsi" w:hAnsi="Helvetica 55 Roman" w:cs="Arial"/>
          <w:b/>
          <w:sz w:val="21"/>
          <w:szCs w:val="21"/>
          <w:lang w:val="de-CH"/>
        </w:rPr>
        <w:t>schlag für einen Musterartikel</w:t>
      </w:r>
      <w:r w:rsidRPr="00DC3C83">
        <w:rPr>
          <w:rFonts w:ascii="Helvetica 55 Roman" w:eastAsiaTheme="minorHAnsi" w:hAnsi="Helvetica 55 Roman" w:cs="Arial"/>
          <w:b/>
          <w:sz w:val="21"/>
          <w:szCs w:val="21"/>
          <w:lang w:val="de-CH"/>
        </w:rPr>
        <w:t xml:space="preserve"> im BZR </w:t>
      </w:r>
    </w:p>
    <w:p w14:paraId="29D6F323" w14:textId="68075548" w:rsidR="00EE01BF" w:rsidRDefault="00DC3C83" w:rsidP="00DC3C83">
      <w:pPr>
        <w:pStyle w:val="ACCorps"/>
        <w:tabs>
          <w:tab w:val="left" w:pos="1134"/>
        </w:tabs>
        <w:spacing w:before="0"/>
        <w:ind w:left="1134" w:hanging="1134"/>
        <w:rPr>
          <w:rFonts w:ascii="Helvetica 45 Light" w:hAnsi="Helvetica 45 Light"/>
          <w:i/>
          <w:sz w:val="19"/>
          <w:szCs w:val="19"/>
          <w:lang w:val="de-CH"/>
        </w:rPr>
      </w:pPr>
      <w:r w:rsidRPr="00DC3C83">
        <w:rPr>
          <w:rFonts w:ascii="Helvetica 45 Light" w:hAnsi="Helvetica 45 Light"/>
          <w:i/>
          <w:sz w:val="19"/>
          <w:szCs w:val="19"/>
          <w:lang w:val="de-CH"/>
        </w:rPr>
        <w:t>(</w:t>
      </w:r>
      <w:r w:rsidR="008A2E0F">
        <w:rPr>
          <w:rFonts w:ascii="Helvetica 45 Light" w:hAnsi="Helvetica 45 Light"/>
          <w:i/>
          <w:sz w:val="19"/>
          <w:szCs w:val="19"/>
          <w:lang w:val="de-CH"/>
        </w:rPr>
        <w:t>I</w:t>
      </w:r>
      <w:r w:rsidR="008A2E0F" w:rsidRPr="008A2E0F">
        <w:rPr>
          <w:rFonts w:ascii="Helvetica 45 Light" w:hAnsi="Helvetica 45 Light"/>
          <w:i/>
          <w:sz w:val="19"/>
          <w:szCs w:val="19"/>
          <w:highlight w:val="green"/>
          <w:lang w:val="de-CH"/>
        </w:rPr>
        <w:t>n grün</w:t>
      </w:r>
      <w:r w:rsidRPr="00DC3C83">
        <w:rPr>
          <w:rFonts w:ascii="Helvetica 45 Light" w:hAnsi="Helvetica 45 Light"/>
          <w:i/>
          <w:sz w:val="19"/>
          <w:szCs w:val="19"/>
          <w:lang w:val="de-CH"/>
        </w:rPr>
        <w:t xml:space="preserve"> = von der Gemeinde anzupassen)</w:t>
      </w:r>
    </w:p>
    <w:p w14:paraId="7C5FA895" w14:textId="77777777" w:rsidR="00707006" w:rsidRPr="00DC3C83" w:rsidRDefault="00707006" w:rsidP="00DC3C83">
      <w:pPr>
        <w:pStyle w:val="ACCorps"/>
        <w:tabs>
          <w:tab w:val="left" w:pos="1134"/>
        </w:tabs>
        <w:spacing w:before="0"/>
        <w:ind w:left="1134" w:hanging="1134"/>
        <w:rPr>
          <w:rFonts w:ascii="Helvetica 45 Light" w:hAnsi="Helvetica 45 Light" w:cs="Arial"/>
          <w:sz w:val="19"/>
          <w:szCs w:val="19"/>
          <w:lang w:val="de-CH"/>
        </w:rPr>
      </w:pPr>
    </w:p>
    <w:p w14:paraId="61030149" w14:textId="5B52C1BF" w:rsidR="00473C18" w:rsidRPr="008A6674" w:rsidRDefault="00473C18" w:rsidP="00EE01BF">
      <w:pPr>
        <w:pStyle w:val="Articletypetitre"/>
        <w:rPr>
          <w:lang w:val="de-CH"/>
        </w:rPr>
      </w:pPr>
      <w:r w:rsidRPr="008A6674">
        <w:rPr>
          <w:rStyle w:val="Accentuation"/>
          <w:rFonts w:ascii="Helvetica 55 Roman" w:hAnsi="Helvetica 55 Roman"/>
          <w:iCs w:val="0"/>
          <w:lang w:val="de-CH"/>
        </w:rPr>
        <w:t xml:space="preserve">Art. </w:t>
      </w:r>
      <w:r w:rsidRPr="008A6674">
        <w:rPr>
          <w:rStyle w:val="Accentuation"/>
          <w:rFonts w:ascii="Helvetica 55 Roman" w:hAnsi="Helvetica 55 Roman"/>
          <w:iCs w:val="0"/>
          <w:highlight w:val="green"/>
          <w:lang w:val="de-CH"/>
        </w:rPr>
        <w:t>xx</w:t>
      </w:r>
      <w:r w:rsidRPr="008A6674">
        <w:rPr>
          <w:lang w:val="de-CH"/>
        </w:rPr>
        <w:tab/>
      </w:r>
      <w:r w:rsidR="00DC3C83" w:rsidRPr="008A6674">
        <w:rPr>
          <w:lang w:val="de-CH"/>
        </w:rPr>
        <w:t>Aktive Bodenpolitik</w:t>
      </w:r>
      <w:r w:rsidR="004067A8" w:rsidRPr="008A6674">
        <w:rPr>
          <w:lang w:val="de-CH"/>
        </w:rPr>
        <w:t xml:space="preserve"> </w:t>
      </w:r>
    </w:p>
    <w:p w14:paraId="76FED14F" w14:textId="118CA9D4" w:rsidR="008A6674" w:rsidRDefault="008A6674" w:rsidP="001B733A">
      <w:pPr>
        <w:pStyle w:val="ArticleType1erNiveau"/>
        <w:numPr>
          <w:ilvl w:val="0"/>
          <w:numId w:val="37"/>
        </w:numPr>
        <w:rPr>
          <w:lang w:val="de-CH"/>
        </w:rPr>
      </w:pPr>
      <w:r w:rsidRPr="008A6674">
        <w:rPr>
          <w:lang w:val="de-CH"/>
        </w:rPr>
        <w:t>Um die Umsetzung des Zonennutzungsplans oder die Realis</w:t>
      </w:r>
      <w:r w:rsidR="0076534F">
        <w:rPr>
          <w:lang w:val="de-CH"/>
        </w:rPr>
        <w:t>ierung von Projekten von öffent</w:t>
      </w:r>
      <w:r w:rsidRPr="008A6674">
        <w:rPr>
          <w:lang w:val="de-CH"/>
        </w:rPr>
        <w:t>lichem Interesse zu erleichtern, kann die Gemeinde strategisch wichtige Grundstücke zu Marktbedingungen erwerben oder die Verfügbarkeit von Bauland mittels Verträgen mit den betroffenen Eigentümern gewährleisten, wobei das Gemeindegesetz vorbehalten bleibt.</w:t>
      </w:r>
    </w:p>
    <w:p w14:paraId="000ACFE8" w14:textId="75B7048E" w:rsidR="008A6674" w:rsidRPr="008A6674" w:rsidRDefault="008A6674" w:rsidP="001B733A">
      <w:pPr>
        <w:pStyle w:val="ArticleType1erNiveau"/>
        <w:numPr>
          <w:ilvl w:val="0"/>
          <w:numId w:val="37"/>
        </w:numPr>
      </w:pPr>
      <w:r w:rsidRPr="008A6674">
        <w:rPr>
          <w:lang w:val="de-CH"/>
        </w:rPr>
        <w:t xml:space="preserve">Wenn das öffentliche Interesse im Sinne von Artikel 16b Absatz 2 </w:t>
      </w:r>
      <w:proofErr w:type="spellStart"/>
      <w:r w:rsidRPr="008A6674">
        <w:rPr>
          <w:lang w:val="de-CH"/>
        </w:rPr>
        <w:t>kRPG</w:t>
      </w:r>
      <w:proofErr w:type="spellEnd"/>
      <w:r w:rsidRPr="008A6674">
        <w:rPr>
          <w:lang w:val="de-CH"/>
        </w:rPr>
        <w:t xml:space="preserve"> dies rechtfertigt, kann der Gemeinderat dem Eigentümer im Rahmen eines anfechtbaren Entscheids auch eine Frist von mindestens zehn Jahren für die Überbauung eines Grundstücks auferlegen, das der Bauzone zugewiesen werden soll oder dieser bereits zugewiesen ist. </w:t>
      </w:r>
      <w:r w:rsidR="0076534F">
        <w:rPr>
          <w:lang w:val="fr-CH"/>
        </w:rPr>
        <w:t xml:space="preserve">Die </w:t>
      </w:r>
      <w:proofErr w:type="spellStart"/>
      <w:r w:rsidR="0076534F">
        <w:rPr>
          <w:lang w:val="fr-CH"/>
        </w:rPr>
        <w:t>Bau</w:t>
      </w:r>
      <w:r w:rsidRPr="008A6674">
        <w:rPr>
          <w:lang w:val="fr-CH"/>
        </w:rPr>
        <w:t>verpflichtung</w:t>
      </w:r>
      <w:proofErr w:type="spellEnd"/>
      <w:r w:rsidRPr="008A6674">
        <w:rPr>
          <w:lang w:val="fr-CH"/>
        </w:rPr>
        <w:t xml:space="preserve"> </w:t>
      </w:r>
      <w:proofErr w:type="spellStart"/>
      <w:r w:rsidRPr="008A6674">
        <w:rPr>
          <w:lang w:val="fr-CH"/>
        </w:rPr>
        <w:t>ist</w:t>
      </w:r>
      <w:proofErr w:type="spellEnd"/>
      <w:r w:rsidRPr="008A6674">
        <w:rPr>
          <w:lang w:val="fr-CH"/>
        </w:rPr>
        <w:t xml:space="preserve"> </w:t>
      </w:r>
      <w:proofErr w:type="spellStart"/>
      <w:r w:rsidRPr="008A6674">
        <w:rPr>
          <w:lang w:val="fr-CH"/>
        </w:rPr>
        <w:t>im</w:t>
      </w:r>
      <w:proofErr w:type="spellEnd"/>
      <w:r w:rsidRPr="008A6674">
        <w:rPr>
          <w:lang w:val="fr-CH"/>
        </w:rPr>
        <w:t xml:space="preserve"> </w:t>
      </w:r>
      <w:proofErr w:type="spellStart"/>
      <w:r w:rsidRPr="008A6674">
        <w:rPr>
          <w:lang w:val="fr-CH"/>
        </w:rPr>
        <w:t>Grundbuch</w:t>
      </w:r>
      <w:proofErr w:type="spellEnd"/>
      <w:r w:rsidRPr="008A6674">
        <w:rPr>
          <w:lang w:val="fr-CH"/>
        </w:rPr>
        <w:t xml:space="preserve"> </w:t>
      </w:r>
      <w:proofErr w:type="spellStart"/>
      <w:r w:rsidRPr="008A6674">
        <w:rPr>
          <w:lang w:val="fr-CH"/>
        </w:rPr>
        <w:t>anzumerken</w:t>
      </w:r>
      <w:proofErr w:type="spellEnd"/>
      <w:r w:rsidRPr="008A6674">
        <w:rPr>
          <w:lang w:val="fr-CH"/>
        </w:rPr>
        <w:t>.</w:t>
      </w:r>
    </w:p>
    <w:p w14:paraId="581800A3" w14:textId="7F5A7771" w:rsidR="00473C18" w:rsidRPr="008A6674" w:rsidRDefault="008A6674" w:rsidP="001B733A">
      <w:pPr>
        <w:pStyle w:val="ArticleType1erNiveau"/>
        <w:numPr>
          <w:ilvl w:val="0"/>
          <w:numId w:val="37"/>
        </w:numPr>
        <w:rPr>
          <w:lang w:val="de-CH"/>
        </w:rPr>
      </w:pPr>
      <w:r w:rsidRPr="008A6674">
        <w:rPr>
          <w:lang w:val="de-CH"/>
        </w:rPr>
        <w:t xml:space="preserve">Bei Bedarf kann der Gemeinderat die anderen gesetzlich vorgesehenen Massnahmen wie Entwicklungsperimeter, Abschluss von Verträgen mit den Eigentümern, </w:t>
      </w:r>
      <w:proofErr w:type="spellStart"/>
      <w:r w:rsidRPr="008A6674">
        <w:rPr>
          <w:lang w:val="de-CH"/>
        </w:rPr>
        <w:t>Einzonung</w:t>
      </w:r>
      <w:proofErr w:type="spellEnd"/>
      <w:r w:rsidRPr="008A6674">
        <w:rPr>
          <w:lang w:val="de-CH"/>
        </w:rPr>
        <w:t xml:space="preserve"> für ein einzelnes Projekt, Bauverpflichtung oder Landumlegung zur Anwendung bringen.</w:t>
      </w:r>
    </w:p>
    <w:p w14:paraId="50D75BD7" w14:textId="72A0C5C1" w:rsidR="00473C18" w:rsidRPr="008A6674" w:rsidRDefault="00473C18" w:rsidP="004067A8">
      <w:pPr>
        <w:pStyle w:val="Articletype3meniveau"/>
        <w:numPr>
          <w:ilvl w:val="0"/>
          <w:numId w:val="0"/>
        </w:numPr>
        <w:ind w:left="908" w:hanging="284"/>
        <w:rPr>
          <w:lang w:val="de-CH"/>
        </w:rPr>
      </w:pPr>
    </w:p>
    <w:p w14:paraId="1E78C713" w14:textId="2487D3BB" w:rsidR="009D3092" w:rsidRDefault="009D3092">
      <w:pPr>
        <w:rPr>
          <w:rFonts w:ascii="Helvetica 45 Light" w:hAnsi="Helvetica 45 Light" w:cs="Arial"/>
          <w:sz w:val="19"/>
          <w:szCs w:val="19"/>
          <w:lang w:val="de-CH"/>
        </w:rPr>
      </w:pPr>
    </w:p>
    <w:p w14:paraId="09D26FEC" w14:textId="4354C518" w:rsidR="00240DBC" w:rsidRDefault="00240DBC">
      <w:pPr>
        <w:rPr>
          <w:rFonts w:ascii="Helvetica 45 Light" w:hAnsi="Helvetica 45 Light" w:cs="Arial"/>
          <w:sz w:val="19"/>
          <w:szCs w:val="19"/>
          <w:lang w:val="de-CH"/>
        </w:rPr>
      </w:pPr>
    </w:p>
    <w:p w14:paraId="0DC45B9D" w14:textId="77777777" w:rsidR="00240DBC" w:rsidRPr="009D5C6D" w:rsidRDefault="00240DBC" w:rsidP="00240DBC">
      <w:pPr>
        <w:rPr>
          <w:rFonts w:ascii="Helvetica 45 Light" w:hAnsi="Helvetica 45 Light" w:cs="Arial"/>
          <w:sz w:val="19"/>
          <w:szCs w:val="19"/>
          <w:lang w:val="de-CH"/>
        </w:rPr>
      </w:pPr>
      <w:r w:rsidRPr="009D5C6D">
        <w:rPr>
          <w:rFonts w:ascii="Helvetica 45 Light" w:hAnsi="Helvetica 45 Light" w:cs="Arial"/>
          <w:sz w:val="19"/>
          <w:szCs w:val="19"/>
          <w:lang w:val="de-CH"/>
        </w:rPr>
        <w:br w:type="page"/>
      </w:r>
    </w:p>
    <w:p w14:paraId="40FB5DBE" w14:textId="77777777" w:rsidR="00240DBC" w:rsidRDefault="00240DBC" w:rsidP="00240DBC">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240DBC" w14:paraId="21F999E8" w14:textId="77777777" w:rsidTr="00240D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06481559" w14:textId="77777777" w:rsidR="00240DBC" w:rsidRDefault="00240DBC">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1667AA36" w14:textId="77777777" w:rsidR="00240DBC" w:rsidRDefault="00240DBC">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240DBC" w14:paraId="15094FBF" w14:textId="77777777" w:rsidTr="00240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591C4ED5" w14:textId="77777777" w:rsidR="00240DBC" w:rsidRDefault="009B4568">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7F922D46" w14:textId="755BC86D" w:rsidR="009B4568" w:rsidRDefault="009B4568">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25DFC806" w14:textId="49C4EC92" w:rsidR="009B4568" w:rsidRDefault="00240DBC">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p w14:paraId="22B47CA6" w14:textId="16BA80A7" w:rsidR="00240DBC" w:rsidRPr="009B4568" w:rsidRDefault="00797641" w:rsidP="009B4568">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highlight w:val="yellow"/>
              </w:rPr>
            </w:pPr>
            <w:proofErr w:type="spellStart"/>
            <w:r w:rsidRPr="00797641">
              <w:rPr>
                <w:rFonts w:ascii="Helvetica 45 Light" w:hAnsi="Helvetica 45 Light"/>
                <w:sz w:val="16"/>
              </w:rPr>
              <w:t>Redaktionnelle</w:t>
            </w:r>
            <w:proofErr w:type="spellEnd"/>
            <w:r w:rsidRPr="00797641">
              <w:rPr>
                <w:rFonts w:ascii="Helvetica 45 Light" w:hAnsi="Helvetica 45 Light"/>
                <w:sz w:val="16"/>
              </w:rPr>
              <w:t xml:space="preserve"> </w:t>
            </w:r>
            <w:proofErr w:type="spellStart"/>
            <w:r w:rsidRPr="00797641">
              <w:rPr>
                <w:rFonts w:ascii="Helvetica 45 Light" w:hAnsi="Helvetica 45 Light"/>
                <w:sz w:val="16"/>
              </w:rPr>
              <w:t>Korrektur</w:t>
            </w:r>
            <w:proofErr w:type="spellEnd"/>
          </w:p>
        </w:tc>
      </w:tr>
    </w:tbl>
    <w:p w14:paraId="21450364" w14:textId="77777777" w:rsidR="00240DBC" w:rsidRDefault="00240DBC" w:rsidP="00240DBC">
      <w:pPr>
        <w:rPr>
          <w:rFonts w:ascii="Helvetica 45 Light" w:hAnsi="Helvetica 45 Light"/>
          <w:sz w:val="16"/>
          <w:szCs w:val="16"/>
        </w:rPr>
      </w:pPr>
    </w:p>
    <w:p w14:paraId="6F9FE539" w14:textId="77777777" w:rsidR="00240DBC" w:rsidRDefault="00240DBC" w:rsidP="00240DBC">
      <w:pPr>
        <w:rPr>
          <w:rFonts w:ascii="Helvetica 45 Light" w:hAnsi="Helvetica 45 Light" w:cs="Arial"/>
          <w:sz w:val="19"/>
          <w:szCs w:val="19"/>
        </w:rPr>
      </w:pPr>
    </w:p>
    <w:p w14:paraId="6429AA00" w14:textId="77777777" w:rsidR="00240DBC" w:rsidRDefault="00240DBC" w:rsidP="00240DBC">
      <w:pPr>
        <w:rPr>
          <w:rFonts w:ascii="Helvetica 45 Light" w:hAnsi="Helvetica 45 Light" w:cs="Arial"/>
          <w:sz w:val="19"/>
          <w:szCs w:val="19"/>
        </w:rPr>
      </w:pPr>
    </w:p>
    <w:p w14:paraId="2D6BAA3A" w14:textId="77777777" w:rsidR="00240DBC" w:rsidRDefault="00240DBC" w:rsidP="00240DBC">
      <w:pPr>
        <w:rPr>
          <w:rFonts w:ascii="Helvetica 45 Light" w:hAnsi="Helvetica 45 Light" w:cs="Arial"/>
          <w:sz w:val="19"/>
          <w:szCs w:val="19"/>
        </w:rPr>
      </w:pPr>
    </w:p>
    <w:p w14:paraId="166E3FF3" w14:textId="77777777" w:rsidR="00240DBC" w:rsidRDefault="00240DBC" w:rsidP="00240DBC">
      <w:pPr>
        <w:tabs>
          <w:tab w:val="left" w:pos="142"/>
        </w:tabs>
        <w:rPr>
          <w:rFonts w:ascii="Helvetica 45 Light" w:hAnsi="Helvetica 45 Light" w:cs="Arial"/>
          <w:sz w:val="19"/>
          <w:szCs w:val="19"/>
        </w:rPr>
      </w:pPr>
    </w:p>
    <w:p w14:paraId="1E980EB1" w14:textId="77777777" w:rsidR="00240DBC" w:rsidRDefault="00240DBC" w:rsidP="00240DBC">
      <w:pPr>
        <w:tabs>
          <w:tab w:val="left" w:pos="142"/>
        </w:tabs>
        <w:rPr>
          <w:rFonts w:ascii="Helvetica 45 Light" w:hAnsi="Helvetica 45 Light" w:cs="Arial"/>
          <w:sz w:val="19"/>
          <w:szCs w:val="19"/>
        </w:rPr>
      </w:pPr>
    </w:p>
    <w:p w14:paraId="2619FEFD" w14:textId="37E25319" w:rsidR="00240DBC" w:rsidRDefault="00240DBC">
      <w:pPr>
        <w:rPr>
          <w:rFonts w:ascii="Helvetica 45 Light" w:hAnsi="Helvetica 45 Light" w:cs="Arial"/>
          <w:sz w:val="19"/>
          <w:szCs w:val="19"/>
          <w:lang w:val="de-CH"/>
        </w:rPr>
      </w:pPr>
    </w:p>
    <w:p w14:paraId="009AC7CB" w14:textId="134B42FD" w:rsidR="00240DBC" w:rsidRPr="008A6674" w:rsidRDefault="00240DBC" w:rsidP="009D5C6D">
      <w:pPr>
        <w:rPr>
          <w:rFonts w:ascii="Helvetica 45 Light" w:hAnsi="Helvetica 45 Light" w:cs="Arial"/>
          <w:sz w:val="19"/>
          <w:szCs w:val="19"/>
          <w:lang w:val="de-CH"/>
        </w:rPr>
      </w:pPr>
    </w:p>
    <w:sectPr w:rsidR="00240DBC" w:rsidRPr="008A6674"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3DA4F" w14:textId="77777777" w:rsidR="00606738" w:rsidRDefault="00606738">
      <w:r>
        <w:separator/>
      </w:r>
    </w:p>
  </w:endnote>
  <w:endnote w:type="continuationSeparator" w:id="0">
    <w:p w14:paraId="6AAEBE2F" w14:textId="77777777" w:rsidR="00606738" w:rsidRDefault="0060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4C46" w14:textId="77777777" w:rsidR="00352B10" w:rsidRDefault="00352B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DFE8" w14:textId="77777777" w:rsidR="00352B10" w:rsidRDefault="00352B1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60E3CF2"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52B10">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52B10">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1444D" w14:textId="77777777" w:rsidR="00606738" w:rsidRDefault="00606738">
      <w:r>
        <w:separator/>
      </w:r>
    </w:p>
  </w:footnote>
  <w:footnote w:type="continuationSeparator" w:id="0">
    <w:p w14:paraId="57E051F8" w14:textId="77777777" w:rsidR="00606738" w:rsidRDefault="00606738">
      <w:r>
        <w:continuationSeparator/>
      </w:r>
    </w:p>
  </w:footnote>
  <w:footnote w:id="1">
    <w:p w14:paraId="30668CB1" w14:textId="77B82F94" w:rsidR="009D5C6D" w:rsidRPr="009D5C6D" w:rsidRDefault="009D5C6D" w:rsidP="009D5C6D">
      <w:pPr>
        <w:spacing w:line="252" w:lineRule="auto"/>
        <w:jc w:val="both"/>
        <w:rPr>
          <w:rFonts w:ascii="Helvetica 45 Light" w:eastAsiaTheme="minorHAnsi" w:hAnsi="Helvetica 45 Light" w:cs="Arial"/>
          <w:sz w:val="19"/>
          <w:szCs w:val="19"/>
          <w:lang w:val="de-CH"/>
        </w:rPr>
      </w:pPr>
      <w:r>
        <w:rPr>
          <w:rStyle w:val="Appelnotedebasdep"/>
        </w:rPr>
        <w:footnoteRef/>
      </w:r>
      <w:r w:rsidR="009B4568">
        <w:rPr>
          <w:rFonts w:ascii="Helvetica 45 Light" w:hAnsi="Helvetica 45 Light" w:cs="Arial"/>
          <w:sz w:val="18"/>
          <w:szCs w:val="18"/>
          <w:lang w:val="de-CH"/>
        </w:rPr>
        <w:t xml:space="preserve"> </w:t>
      </w:r>
      <w:r w:rsidRPr="009B4568">
        <w:rPr>
          <w:rFonts w:ascii="Helvetica 45 Light" w:hAnsi="Helvetica 45 Light" w:cs="Arial"/>
          <w:sz w:val="16"/>
          <w:szCs w:val="18"/>
          <w:lang w:val="de-CH"/>
        </w:rPr>
        <w:t xml:space="preserve">VLP-ASPAN, </w:t>
      </w:r>
      <w:r w:rsidRPr="009B4568">
        <w:rPr>
          <w:rFonts w:ascii="Helvetica 45 Light" w:hAnsi="Helvetica 45 Light" w:cs="Arial"/>
          <w:i/>
          <w:sz w:val="16"/>
          <w:szCs w:val="18"/>
          <w:lang w:val="de-CH"/>
        </w:rPr>
        <w:t>Raum &amp; Umwelt</w:t>
      </w:r>
      <w:r w:rsidRPr="009B4568">
        <w:rPr>
          <w:rFonts w:ascii="Helvetica 45 Light" w:hAnsi="Helvetica 45 Light" w:cs="Arial"/>
          <w:sz w:val="16"/>
          <w:szCs w:val="18"/>
          <w:lang w:val="de-CH"/>
        </w:rPr>
        <w:t>: Rechtliche Möglichkeiten zur Baulandmobilisierung, September 5/2013</w:t>
      </w:r>
    </w:p>
    <w:p w14:paraId="68D64178" w14:textId="0A2FAF71" w:rsidR="009D5C6D" w:rsidRPr="009D5C6D" w:rsidRDefault="009D5C6D">
      <w:pPr>
        <w:pStyle w:val="Notedebasdepage"/>
        <w:rPr>
          <w:lang w:val="de-CH"/>
        </w:rPr>
      </w:pPr>
    </w:p>
  </w:footnote>
  <w:footnote w:id="2">
    <w:p w14:paraId="527A18FA" w14:textId="5FBC8583" w:rsidR="009D5C6D" w:rsidRPr="009B4568" w:rsidRDefault="009D5C6D">
      <w:pPr>
        <w:pStyle w:val="Notedebasdepage"/>
        <w:rPr>
          <w:rFonts w:ascii="Helvetica 45 Light" w:hAnsi="Helvetica 45 Light"/>
          <w:sz w:val="16"/>
          <w:szCs w:val="16"/>
          <w:lang w:val="de-CH"/>
        </w:rPr>
      </w:pPr>
      <w:r w:rsidRPr="009B4568">
        <w:rPr>
          <w:rStyle w:val="Appelnotedebasdep"/>
          <w:rFonts w:ascii="Helvetica 45 Light" w:hAnsi="Helvetica 45 Light"/>
          <w:sz w:val="16"/>
          <w:szCs w:val="16"/>
        </w:rPr>
        <w:footnoteRef/>
      </w:r>
      <w:r w:rsidRPr="009B4568">
        <w:rPr>
          <w:rFonts w:ascii="Helvetica 45 Light" w:hAnsi="Helvetica 45 Light"/>
          <w:sz w:val="16"/>
          <w:szCs w:val="16"/>
          <w:lang w:val="de-CH"/>
        </w:rPr>
        <w:t xml:space="preserve"> </w:t>
      </w:r>
      <w:r w:rsidRPr="009B4568">
        <w:rPr>
          <w:rFonts w:ascii="Helvetica 45 Light" w:hAnsi="Helvetica 45 Light" w:cs="Arial"/>
          <w:sz w:val="16"/>
          <w:szCs w:val="16"/>
          <w:lang w:val="de-CH"/>
        </w:rPr>
        <w:t>VLP-ASPAN, Raum &amp; Umwelt: Der Mehrwertausgleich im revidierten Raumplanungsgesetz, Juli 4/2013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A64F" w14:textId="7936D8C6" w:rsidR="00352B10" w:rsidRDefault="00352B10">
    <w:pPr>
      <w:pStyle w:val="En-tte"/>
    </w:pPr>
    <w:r>
      <w:rPr>
        <w:noProof/>
      </w:rPr>
      <w:pict w14:anchorId="511DA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40610" o:spid="_x0000_s2253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2826" w14:textId="196CBAC2" w:rsidR="00352B10" w:rsidRDefault="00352B10">
    <w:pPr>
      <w:pStyle w:val="En-tte"/>
    </w:pPr>
    <w:r>
      <w:rPr>
        <w:noProof/>
      </w:rPr>
      <w:pict w14:anchorId="7D289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40611" o:spid="_x0000_s2253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C747" w14:textId="6C40ABE2" w:rsidR="00DC11BC" w:rsidRDefault="00352B10" w:rsidP="00DC11BC">
    <w:pPr>
      <w:pStyle w:val="ACEn-tte"/>
      <w:tabs>
        <w:tab w:val="left" w:pos="0"/>
      </w:tabs>
      <w:ind w:right="4280"/>
      <w:rPr>
        <w:sz w:val="14"/>
      </w:rPr>
    </w:pPr>
    <w:r>
      <w:rPr>
        <w:noProof/>
      </w:rPr>
      <w:pict w14:anchorId="45306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40609" o:spid="_x0000_s22529"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DC11BC">
      <w:rPr>
        <w:noProof/>
        <w:lang w:val="fr-CH" w:eastAsia="fr-CH"/>
      </w:rPr>
      <w:drawing>
        <wp:anchor distT="0" distB="0" distL="114300" distR="114300" simplePos="0" relativeHeight="251659264" behindDoc="0" locked="0" layoutInCell="1" allowOverlap="0" wp14:anchorId="13B5521F" wp14:editId="5F6A0DDB">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C11BC">
      <w:rPr>
        <w:noProof/>
        <w:lang w:val="fr-CH" w:eastAsia="fr-CH"/>
      </w:rPr>
      <w:drawing>
        <wp:anchor distT="0" distB="0" distL="114300" distR="114300" simplePos="0" relativeHeight="251660288" behindDoc="0" locked="0" layoutInCell="1" allowOverlap="1" wp14:anchorId="2E1C3120" wp14:editId="65E11F59">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C11BC">
      <w:rPr>
        <w:sz w:val="14"/>
      </w:rPr>
      <w:t>Département de la mobilité, du territoire et de l’environnement</w:t>
    </w:r>
  </w:p>
  <w:p w14:paraId="2EE0B839" w14:textId="77777777" w:rsidR="00DC11BC" w:rsidRDefault="00DC11BC" w:rsidP="00DC11BC">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7E083CD8" w14:textId="77777777" w:rsidR="00DC11BC" w:rsidRDefault="00DC11BC" w:rsidP="00DC11BC">
    <w:pPr>
      <w:pStyle w:val="ACEn-tte"/>
      <w:tabs>
        <w:tab w:val="left" w:pos="0"/>
      </w:tabs>
      <w:ind w:right="4280"/>
      <w:rPr>
        <w:sz w:val="14"/>
        <w:szCs w:val="16"/>
        <w:lang w:val="de-CH"/>
      </w:rPr>
    </w:pPr>
    <w:r>
      <w:rPr>
        <w:sz w:val="14"/>
        <w:szCs w:val="16"/>
        <w:lang w:val="de-CH"/>
      </w:rPr>
      <w:t xml:space="preserve">Departement für Mobilität, Raumentwicklung und Umwelt </w:t>
    </w:r>
  </w:p>
  <w:p w14:paraId="1D131804" w14:textId="77777777" w:rsidR="00DC11BC" w:rsidRDefault="00DC11BC" w:rsidP="00DC11BC">
    <w:pPr>
      <w:pStyle w:val="ACEn-tte"/>
      <w:tabs>
        <w:tab w:val="left" w:pos="0"/>
      </w:tabs>
      <w:ind w:right="5386"/>
      <w:rPr>
        <w:b/>
        <w:sz w:val="14"/>
        <w:lang w:val="de-CH"/>
      </w:rPr>
    </w:pPr>
    <w:r>
      <w:rPr>
        <w:b/>
        <w:sz w:val="14"/>
        <w:lang w:val="de-CH"/>
      </w:rPr>
      <w:t>Dienststelle für Raumentwicklung</w:t>
    </w:r>
  </w:p>
  <w:p w14:paraId="008D1A83" w14:textId="77777777" w:rsidR="00DC11BC" w:rsidRDefault="00DC11BC" w:rsidP="00DC11B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2F6C7CC8" w:rsidR="00633D3A" w:rsidRPr="00DC11BC" w:rsidRDefault="00DC11BC" w:rsidP="00DC11B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0A956581" wp14:editId="126CDBAC">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C1510F5" w:rsidR="00FC0003" w:rsidRDefault="00352B10">
    <w:pPr>
      <w:pStyle w:val="En-tte"/>
    </w:pPr>
    <w:r>
      <w:rPr>
        <w:noProof/>
      </w:rPr>
      <w:pict w14:anchorId="5A633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40613" o:spid="_x0000_s22533"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10D6657F" w:rsidR="009251C4" w:rsidRPr="00DC3C83" w:rsidRDefault="00352B10" w:rsidP="009251C4">
    <w:pPr>
      <w:pStyle w:val="en-ttenomdoc"/>
      <w:jc w:val="right"/>
      <w:rPr>
        <w:lang w:val="de-CH"/>
      </w:rPr>
    </w:pPr>
    <w:r>
      <w:rPr>
        <w:noProof/>
      </w:rPr>
      <w:pict w14:anchorId="65C9F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40614" o:spid="_x0000_s22534"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D61673" w:rsidRPr="00DC3C83">
      <w:rPr>
        <w:rFonts w:ascii="Helvetica Neue Medium" w:hAnsi="Helvetica Neue Medium"/>
        <w:lang w:val="de-CH"/>
      </w:rPr>
      <w:t>Musterartikel</w:t>
    </w:r>
    <w:r w:rsidR="009251C4" w:rsidRPr="00DC3C83">
      <w:rPr>
        <w:rFonts w:ascii="Helvetica Neue Medium" w:hAnsi="Helvetica Neue Medium"/>
        <w:lang w:val="de-CH"/>
      </w:rPr>
      <w:t xml:space="preserve"> </w:t>
    </w:r>
    <w:r w:rsidR="009251C4" w:rsidRPr="00DC3C83">
      <w:rPr>
        <w:lang w:val="de-CH"/>
      </w:rPr>
      <w:t xml:space="preserve">– </w:t>
    </w:r>
    <w:r w:rsidR="00D61673" w:rsidRPr="00DC3C83">
      <w:rPr>
        <w:lang w:val="de-CH"/>
      </w:rPr>
      <w:t>Aktive Bodenpolitik und Verfügbarkeit</w:t>
    </w:r>
    <w:r w:rsidR="004067A8" w:rsidRPr="00DC3C83">
      <w:rPr>
        <w:lang w:val="de-CH"/>
      </w:rPr>
      <w:t xml:space="preserve"> </w:t>
    </w:r>
  </w:p>
  <w:p w14:paraId="00A2BE7C" w14:textId="4DBFAA58" w:rsidR="00C72F63" w:rsidRPr="00DC3C83" w:rsidRDefault="00C72F63">
    <w:pPr>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69B9885C" w:rsidR="00FC0003" w:rsidRDefault="00352B10">
    <w:pPr>
      <w:pStyle w:val="En-tte"/>
    </w:pPr>
    <w:r>
      <w:rPr>
        <w:noProof/>
      </w:rPr>
      <w:pict w14:anchorId="7FFEB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40612" o:spid="_x0000_s2253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E4F23F8"/>
    <w:multiLevelType w:val="hybridMultilevel"/>
    <w:tmpl w:val="A0C6628A"/>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F0F5EEC"/>
    <w:multiLevelType w:val="hybridMultilevel"/>
    <w:tmpl w:val="6060E08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8B12CB"/>
    <w:multiLevelType w:val="hybridMultilevel"/>
    <w:tmpl w:val="A02AF08A"/>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0406A95"/>
    <w:multiLevelType w:val="hybridMultilevel"/>
    <w:tmpl w:val="49E67F1E"/>
    <w:lvl w:ilvl="0" w:tplc="92DC6746">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8"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281198"/>
    <w:multiLevelType w:val="hybridMultilevel"/>
    <w:tmpl w:val="4D6A2F9C"/>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E152090"/>
    <w:multiLevelType w:val="hybridMultilevel"/>
    <w:tmpl w:val="DCCAE42A"/>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2075EFB"/>
    <w:multiLevelType w:val="hybridMultilevel"/>
    <w:tmpl w:val="137E1B10"/>
    <w:lvl w:ilvl="0" w:tplc="188613D6">
      <w:start w:val="1"/>
      <w:numFmt w:val="bullet"/>
      <w:lvlText w:val="&gt;"/>
      <w:lvlJc w:val="left"/>
      <w:pPr>
        <w:ind w:left="720" w:hanging="360"/>
      </w:pPr>
      <w:rPr>
        <w:rFonts w:ascii="Agency FB" w:hAnsi="Agency FB"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2"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77D86B1D"/>
    <w:multiLevelType w:val="hybridMultilevel"/>
    <w:tmpl w:val="FAC06476"/>
    <w:lvl w:ilvl="0" w:tplc="188613D6">
      <w:start w:val="1"/>
      <w:numFmt w:val="bullet"/>
      <w:lvlText w:val="&gt;"/>
      <w:lvlJc w:val="left"/>
      <w:pPr>
        <w:ind w:left="720" w:hanging="360"/>
      </w:pPr>
      <w:rPr>
        <w:rFonts w:ascii="Agency FB" w:hAnsi="Agency FB"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12"/>
  </w:num>
  <w:num w:numId="3">
    <w:abstractNumId w:val="6"/>
  </w:num>
  <w:num w:numId="4">
    <w:abstractNumId w:val="14"/>
  </w:num>
  <w:num w:numId="5">
    <w:abstractNumId w:val="0"/>
  </w:num>
  <w:num w:numId="6">
    <w:abstractNumId w:val="7"/>
  </w:num>
  <w:num w:numId="7">
    <w:abstractNumId w:val="14"/>
    <w:lvlOverride w:ilvl="0">
      <w:startOverride w:val="1"/>
    </w:lvlOverride>
  </w:num>
  <w:num w:numId="8">
    <w:abstractNumId w:val="6"/>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0"/>
    <w:lvlOverride w:ilvl="0">
      <w:startOverride w:val="1"/>
    </w:lvlOverride>
  </w:num>
  <w:num w:numId="14">
    <w:abstractNumId w:val="14"/>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6"/>
    <w:lvlOverride w:ilvl="0">
      <w:startOverride w:val="1"/>
    </w:lvlOverride>
  </w:num>
  <w:num w:numId="18">
    <w:abstractNumId w:val="14"/>
    <w:lvlOverride w:ilvl="0">
      <w:startOverride w:val="1"/>
    </w:lvlOverride>
  </w:num>
  <w:num w:numId="19">
    <w:abstractNumId w:val="0"/>
    <w:lvlOverride w:ilvl="0">
      <w:startOverride w:val="1"/>
    </w:lvlOverride>
  </w:num>
  <w:num w:numId="20">
    <w:abstractNumId w:val="6"/>
  </w:num>
  <w:num w:numId="21">
    <w:abstractNumId w:val="6"/>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4"/>
    <w:lvlOverride w:ilvl="0">
      <w:startOverride w:val="1"/>
    </w:lvlOverride>
  </w:num>
  <w:num w:numId="25">
    <w:abstractNumId w:val="6"/>
    <w:lvlOverride w:ilvl="0">
      <w:startOverride w:val="1"/>
    </w:lvlOverride>
  </w:num>
  <w:num w:numId="26">
    <w:abstractNumId w:val="8"/>
  </w:num>
  <w:num w:numId="27">
    <w:abstractNumId w:val="1"/>
  </w:num>
  <w:num w:numId="28">
    <w:abstractNumId w:val="13"/>
  </w:num>
  <w:num w:numId="29">
    <w:abstractNumId w:val="9"/>
  </w:num>
  <w:num w:numId="30">
    <w:abstractNumId w:val="4"/>
  </w:num>
  <w:num w:numId="31">
    <w:abstractNumId w:val="10"/>
  </w:num>
  <w:num w:numId="32">
    <w:abstractNumId w:val="11"/>
  </w:num>
  <w:num w:numId="33">
    <w:abstractNumId w:val="2"/>
  </w:num>
  <w:num w:numId="34">
    <w:abstractNumId w:val="6"/>
  </w:num>
  <w:num w:numId="35">
    <w:abstractNumId w:val="6"/>
  </w:num>
  <w:num w:numId="36">
    <w:abstractNumId w:val="6"/>
  </w:num>
  <w:num w:numId="37">
    <w:abstractNumId w:val="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35"/>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0E33"/>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3A"/>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40DBC"/>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4632"/>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2497"/>
    <w:rsid w:val="00323C7B"/>
    <w:rsid w:val="003313C2"/>
    <w:rsid w:val="00332C88"/>
    <w:rsid w:val="003333B1"/>
    <w:rsid w:val="00337A13"/>
    <w:rsid w:val="00342CD5"/>
    <w:rsid w:val="00343538"/>
    <w:rsid w:val="00345F1F"/>
    <w:rsid w:val="00346030"/>
    <w:rsid w:val="003479BA"/>
    <w:rsid w:val="0035082E"/>
    <w:rsid w:val="0035139E"/>
    <w:rsid w:val="00352B10"/>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67A8"/>
    <w:rsid w:val="00407D4A"/>
    <w:rsid w:val="0041380B"/>
    <w:rsid w:val="00422675"/>
    <w:rsid w:val="004264BC"/>
    <w:rsid w:val="0044348C"/>
    <w:rsid w:val="0044495B"/>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56EE"/>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06738"/>
    <w:rsid w:val="00610323"/>
    <w:rsid w:val="006107F4"/>
    <w:rsid w:val="00611C2A"/>
    <w:rsid w:val="00613938"/>
    <w:rsid w:val="00615123"/>
    <w:rsid w:val="00617866"/>
    <w:rsid w:val="0062176F"/>
    <w:rsid w:val="00621798"/>
    <w:rsid w:val="00623CA5"/>
    <w:rsid w:val="006250EC"/>
    <w:rsid w:val="00631071"/>
    <w:rsid w:val="00633D3A"/>
    <w:rsid w:val="006345BD"/>
    <w:rsid w:val="006449B7"/>
    <w:rsid w:val="00645030"/>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B60CD"/>
    <w:rsid w:val="006C15C7"/>
    <w:rsid w:val="006C1E56"/>
    <w:rsid w:val="006C5438"/>
    <w:rsid w:val="006C6049"/>
    <w:rsid w:val="006C69C3"/>
    <w:rsid w:val="006D24CE"/>
    <w:rsid w:val="006D68B3"/>
    <w:rsid w:val="006D75EF"/>
    <w:rsid w:val="006D7DF4"/>
    <w:rsid w:val="006E0182"/>
    <w:rsid w:val="006E2495"/>
    <w:rsid w:val="006E2A60"/>
    <w:rsid w:val="006F1D98"/>
    <w:rsid w:val="006F29C0"/>
    <w:rsid w:val="006F34F8"/>
    <w:rsid w:val="006F4C30"/>
    <w:rsid w:val="006F5959"/>
    <w:rsid w:val="00702001"/>
    <w:rsid w:val="00705F4D"/>
    <w:rsid w:val="00707006"/>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187F"/>
    <w:rsid w:val="0076534F"/>
    <w:rsid w:val="007678EC"/>
    <w:rsid w:val="00767ED2"/>
    <w:rsid w:val="00770C24"/>
    <w:rsid w:val="00771EEC"/>
    <w:rsid w:val="00772444"/>
    <w:rsid w:val="00772990"/>
    <w:rsid w:val="00772DFF"/>
    <w:rsid w:val="00783A6F"/>
    <w:rsid w:val="0079355F"/>
    <w:rsid w:val="007935F2"/>
    <w:rsid w:val="007948EA"/>
    <w:rsid w:val="00794CF0"/>
    <w:rsid w:val="00797641"/>
    <w:rsid w:val="007A34E0"/>
    <w:rsid w:val="007A424E"/>
    <w:rsid w:val="007A447E"/>
    <w:rsid w:val="007A78B2"/>
    <w:rsid w:val="007B2C9C"/>
    <w:rsid w:val="007B7328"/>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2E0F"/>
    <w:rsid w:val="008A542C"/>
    <w:rsid w:val="008A6447"/>
    <w:rsid w:val="008A6674"/>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568"/>
    <w:rsid w:val="009B4D7E"/>
    <w:rsid w:val="009B4DCD"/>
    <w:rsid w:val="009B4EAE"/>
    <w:rsid w:val="009B5ED1"/>
    <w:rsid w:val="009D0575"/>
    <w:rsid w:val="009D069F"/>
    <w:rsid w:val="009D0E90"/>
    <w:rsid w:val="009D2230"/>
    <w:rsid w:val="009D2F4B"/>
    <w:rsid w:val="009D3092"/>
    <w:rsid w:val="009D5C6D"/>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46841"/>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BF7CFF"/>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4434"/>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284"/>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1673"/>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1BC"/>
    <w:rsid w:val="00DC134B"/>
    <w:rsid w:val="00DC3C83"/>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567B6"/>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4F5A"/>
    <w:rsid w:val="00FC5ACF"/>
    <w:rsid w:val="00FD05DD"/>
    <w:rsid w:val="00FD2973"/>
    <w:rsid w:val="00FD7A83"/>
    <w:rsid w:val="00FE01D2"/>
    <w:rsid w:val="00FE2156"/>
    <w:rsid w:val="00FE340C"/>
    <w:rsid w:val="00FF3368"/>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aliases w:val="puces"/>
    <w:basedOn w:val="Normal"/>
    <w:link w:val="ParagraphedelisteCar"/>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qFormat/>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character" w:customStyle="1" w:styleId="ParagraphedelisteCar">
    <w:name w:val="Paragraphe de liste Car"/>
    <w:aliases w:val="puces Car"/>
    <w:basedOn w:val="Policepardfaut"/>
    <w:link w:val="Paragraphedeliste"/>
    <w:uiPriority w:val="34"/>
    <w:locked/>
    <w:rsid w:val="00D61673"/>
    <w:rPr>
      <w:rFonts w:ascii="Calibri" w:eastAsia="Calibri" w:hAnsi="Calibri"/>
      <w:sz w:val="22"/>
      <w:szCs w:val="22"/>
      <w:lang w:eastAsia="en-US"/>
    </w:rPr>
  </w:style>
  <w:style w:type="table" w:styleId="Tableausimple2">
    <w:name w:val="Plain Table 2"/>
    <w:basedOn w:val="TableauNormal"/>
    <w:uiPriority w:val="99"/>
    <w:rsid w:val="00240DBC"/>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5041">
      <w:bodyDiv w:val="1"/>
      <w:marLeft w:val="0"/>
      <w:marRight w:val="0"/>
      <w:marTop w:val="0"/>
      <w:marBottom w:val="0"/>
      <w:divBdr>
        <w:top w:val="none" w:sz="0" w:space="0" w:color="auto"/>
        <w:left w:val="none" w:sz="0" w:space="0" w:color="auto"/>
        <w:bottom w:val="none" w:sz="0" w:space="0" w:color="auto"/>
        <w:right w:val="none" w:sz="0" w:space="0" w:color="auto"/>
      </w:divBdr>
    </w:div>
    <w:div w:id="514925418">
      <w:bodyDiv w:val="1"/>
      <w:marLeft w:val="0"/>
      <w:marRight w:val="0"/>
      <w:marTop w:val="0"/>
      <w:marBottom w:val="0"/>
      <w:divBdr>
        <w:top w:val="none" w:sz="0" w:space="0" w:color="auto"/>
        <w:left w:val="none" w:sz="0" w:space="0" w:color="auto"/>
        <w:bottom w:val="none" w:sz="0" w:space="0" w:color="auto"/>
        <w:right w:val="none" w:sz="0" w:space="0" w:color="auto"/>
      </w:divBdr>
    </w:div>
    <w:div w:id="685912100">
      <w:bodyDiv w:val="1"/>
      <w:marLeft w:val="0"/>
      <w:marRight w:val="0"/>
      <w:marTop w:val="0"/>
      <w:marBottom w:val="0"/>
      <w:divBdr>
        <w:top w:val="none" w:sz="0" w:space="0" w:color="auto"/>
        <w:left w:val="none" w:sz="0" w:space="0" w:color="auto"/>
        <w:bottom w:val="none" w:sz="0" w:space="0" w:color="auto"/>
        <w:right w:val="none" w:sz="0" w:space="0" w:color="auto"/>
      </w:divBdr>
    </w:div>
    <w:div w:id="691885012">
      <w:bodyDiv w:val="1"/>
      <w:marLeft w:val="0"/>
      <w:marRight w:val="0"/>
      <w:marTop w:val="0"/>
      <w:marBottom w:val="0"/>
      <w:divBdr>
        <w:top w:val="none" w:sz="0" w:space="0" w:color="auto"/>
        <w:left w:val="none" w:sz="0" w:space="0" w:color="auto"/>
        <w:bottom w:val="none" w:sz="0" w:space="0" w:color="auto"/>
        <w:right w:val="none" w:sz="0" w:space="0" w:color="auto"/>
      </w:divBdr>
    </w:div>
    <w:div w:id="816263708">
      <w:bodyDiv w:val="1"/>
      <w:marLeft w:val="0"/>
      <w:marRight w:val="0"/>
      <w:marTop w:val="0"/>
      <w:marBottom w:val="0"/>
      <w:divBdr>
        <w:top w:val="none" w:sz="0" w:space="0" w:color="auto"/>
        <w:left w:val="none" w:sz="0" w:space="0" w:color="auto"/>
        <w:bottom w:val="none" w:sz="0" w:space="0" w:color="auto"/>
        <w:right w:val="none" w:sz="0" w:space="0" w:color="auto"/>
      </w:divBdr>
    </w:div>
    <w:div w:id="1073697108">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874920300">
      <w:bodyDiv w:val="1"/>
      <w:marLeft w:val="0"/>
      <w:marRight w:val="0"/>
      <w:marTop w:val="0"/>
      <w:marBottom w:val="0"/>
      <w:divBdr>
        <w:top w:val="none" w:sz="0" w:space="0" w:color="auto"/>
        <w:left w:val="none" w:sz="0" w:space="0" w:color="auto"/>
        <w:bottom w:val="none" w:sz="0" w:space="0" w:color="auto"/>
        <w:right w:val="none" w:sz="0" w:space="0" w:color="auto"/>
      </w:divBdr>
    </w:div>
    <w:div w:id="18967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D616-5491-4D52-8250-54A25BBA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6891</Characters>
  <Application>Microsoft Office Word</Application>
  <DocSecurity>0</DocSecurity>
  <Lines>57</Lines>
  <Paragraphs>15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30</cp:revision>
  <cp:lastPrinted>2020-03-10T15:02:00Z</cp:lastPrinted>
  <dcterms:created xsi:type="dcterms:W3CDTF">2021-07-20T15:30:00Z</dcterms:created>
  <dcterms:modified xsi:type="dcterms:W3CDTF">2024-03-18T09:46:00Z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